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重庆市巴南区城市管理局</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color w:val="auto"/>
          <w:spacing w:val="-11"/>
          <w:sz w:val="44"/>
          <w:szCs w:val="44"/>
        </w:rPr>
      </w:pPr>
      <w:r>
        <w:rPr>
          <w:rFonts w:hint="default" w:ascii="Times New Roman" w:hAnsi="Times New Roman" w:eastAsia="方正小标宋_GBK" w:cs="Times New Roman"/>
          <w:color w:val="auto"/>
          <w:spacing w:val="-11"/>
          <w:sz w:val="44"/>
          <w:szCs w:val="44"/>
        </w:rPr>
        <w:t>关于202</w:t>
      </w:r>
      <w:r>
        <w:rPr>
          <w:rFonts w:hint="default" w:ascii="Times New Roman" w:hAnsi="Times New Roman" w:eastAsia="方正小标宋_GBK" w:cs="Times New Roman"/>
          <w:color w:val="auto"/>
          <w:spacing w:val="-11"/>
          <w:sz w:val="44"/>
          <w:szCs w:val="44"/>
          <w:lang w:val="en-US" w:eastAsia="zh-CN"/>
        </w:rPr>
        <w:t>3</w:t>
      </w:r>
      <w:r>
        <w:rPr>
          <w:rFonts w:hint="default" w:ascii="Times New Roman" w:hAnsi="Times New Roman" w:eastAsia="方正小标宋_GBK" w:cs="Times New Roman"/>
          <w:color w:val="auto"/>
          <w:spacing w:val="-11"/>
          <w:sz w:val="44"/>
          <w:szCs w:val="44"/>
        </w:rPr>
        <w:t>年法治政府建设情况的报告</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我局坚持以习近平新时代中国特色社会主义思想为指导，全面贯彻党的十九大及十九届历次全会和党的二十大精神，深入贯彻落实习近平法治思想和中央全面依法治国工作会议精神，按照《中共重庆市巴南区委全面依法治区委员会2023年工作要点》《法治中国建设规划（2020—2025年）》《法治政府建设实施纲要（2021—2025年）》《法治社会建设实施纲要（2020—2025年）》的部署要求，深入推进城市管理部门法治政府建设，</w:t>
      </w:r>
      <w:r>
        <w:rPr>
          <w:rFonts w:hint="default" w:ascii="Times New Roman" w:hAnsi="Times New Roman" w:eastAsia="方正仿宋_GBK" w:cs="Times New Roman"/>
          <w:color w:val="auto"/>
          <w:sz w:val="32"/>
          <w:szCs w:val="32"/>
        </w:rPr>
        <w:t>现将有关工作情况报告如下：</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主要举措和工作成效</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一）深学笃用习近平法治思想，推动城市管理部门法治政府建设高质量发展。一是多形式开展专题学习。通过局党组中心组学习会、支部主题党日、全系统工作会议等形式，及时传达学习各项会议精神。局党组理论学习中心组围绕贯彻习近平法治思想开展专题学习讨论，各级党组织将习近平法治思想纳入干部教育培训内容，进一步夯牢思想基础。二是多维度搭建制度体系。我局法治建设工作领导小组定期研究法治建设工作，将法治建设工作作为重要内容列入年度工作计划，围绕依法行政“三项制度”落实、城市管理综合执法重点任务推进、普法工作有效开展日常工作。今年研究制定了《重庆市巴南区城市管理局关于成立重大执法决定法制审核委员会的通》《重庆市巴南区城市管理局关于成立重大案件集体讨论工作领导小组的通知》《重庆市巴南区城市管理局关于印发&lt;重大执法决定法制审核和集体讨论工作制度（试行）&gt;的通知》《重庆市巴南区城市管理局关于规范城市管理执法文书审签工作的通知》等制度文件，进一步梳理完善各项流程。三是多方面抓好工作日常。局党委定期召开会议，听取法治工作推进情况报告，解决法治政府建设存在的问题，建立完善法治建设年度考核工作机制，确保法治建设与中心工作同谋划、同安排、同部署、同考核。</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二）切实履行城市管理职能，持续优化城市管理领域营商环境。一是加强学习培养优化意识。围绕《重庆市巴南区人民政府关于印发2023年巴南区政务服务工作要点的通知》《关于深化政务服务“一窗综办”改革的方案（征求意见稿）》重点学习，进一步把握工作重点，不断推进了优化营商环境改革工作的落实。二是在获得用水方面推动工作落地。加快推进水电气讯等“一站式”联动服务，不断提升供水、供电、供气、互联网服务等可靠性。督促重庆市渝南自来水公司全面贯彻落实“210服务”，缩减为2个办理环节（现场踏勘和接入通水），确认项目“一张表”，增加网上营业厅功能模块，即普通用户安装费收费功能，实现用户“0跑腿”，所有项目可“网上办”。通过用水报装系统，设置专人跟踪服务流程时限，贯彻落实“一站式”服务工作，落实国家“放管服”政策，全面优化营商环境，保证人民群众用水需求，利用线上审批方式，从工程查勘设计、合同审核、通水审批过程不断缩短时限，截</w:t>
      </w:r>
      <w:r>
        <w:rPr>
          <w:rFonts w:hint="eastAsia" w:eastAsia="方正仿宋_GBK" w:cs="Times New Roman"/>
          <w:snapToGrid w:val="0"/>
          <w:color w:val="auto"/>
          <w:kern w:val="0"/>
          <w:sz w:val="32"/>
          <w:szCs w:val="32"/>
          <w:u w:val="none"/>
          <w:lang w:val="en-US" w:eastAsia="zh-CN"/>
        </w:rPr>
        <w:t>至</w:t>
      </w:r>
      <w:r>
        <w:rPr>
          <w:rFonts w:hint="default" w:ascii="Times New Roman" w:hAnsi="Times New Roman" w:eastAsia="方正仿宋_GBK" w:cs="Times New Roman"/>
          <w:snapToGrid w:val="0"/>
          <w:color w:val="auto"/>
          <w:kern w:val="0"/>
          <w:sz w:val="32"/>
          <w:szCs w:val="32"/>
          <w:u w:val="none"/>
          <w:lang w:val="en-US" w:eastAsia="zh-CN"/>
        </w:rPr>
        <w:t>目前无一例超期现象。三是持续抓好网审服务关和政务服务关。定人定时做好“渝快办”网审平台推送的行政审批（备案）服务事项服务指南要素的修正工作，为申报人全程网办顺利申报打通了通畅便捷通道。定人开展帮办和指导服务，为办事企业和群众做好咨询和指导服务，进一步提升政务服务效能。</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（三）坚持严格规范公正文明执法，不断提高行政执法水平。</w:t>
      </w:r>
      <w:r>
        <w:rPr>
          <w:rFonts w:hint="eastAsia"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是正式启用</w:t>
      </w:r>
      <w:r>
        <w:rPr>
          <w:rFonts w:hint="default" w:ascii="Times New Roman" w:hAnsi="Times New Roman" w:eastAsia="方正仿宋_GBK" w:cs="Times New Roman"/>
          <w:color w:val="auto"/>
          <w:sz w:val="32"/>
          <w:szCs w:val="32"/>
        </w:rPr>
        <w:t>智慧执法系统</w:t>
      </w:r>
      <w:r>
        <w:rPr>
          <w:rFonts w:hint="default" w:ascii="Times New Roman" w:hAnsi="Times New Roman" w:eastAsia="方正仿宋_GBK" w:cs="Times New Roman"/>
          <w:color w:val="auto"/>
          <w:sz w:val="32"/>
          <w:szCs w:val="32"/>
          <w:lang w:eastAsia="zh-CN"/>
        </w:rPr>
        <w:t>。年初启动试运行智慧执法系统，已初具使用功能，正加速开发违停管理系统，并持续迭代优化，实现流程更规范、响应更迅速；智慧渣土管理云平台已初步投用，安装抓拍摄像头65个，并已连接平台，可实时调取监控视频，掌握区内备案渣土车运行轨迹；三是积极申报“人行道违停治理一件事”，开发建设人行道机动车违停管理系统，有效规范执法行为，提高执法效率。自2023年8月7日系统建立以来，截至12月21日，累计发出违停告知单2205张，处罚金额104108元，已缴罚款15380元，公众号注册989人，免罚638次，逐步建立车辆信息数据库，最终降低人行道机动车违停发生率。</w:t>
      </w:r>
      <w:r>
        <w:rPr>
          <w:rFonts w:hint="eastAsia" w:eastAsia="方正仿宋_GBK" w:cs="Times New Roman"/>
          <w:snapToGrid w:val="0"/>
          <w:color w:val="auto"/>
          <w:kern w:val="0"/>
          <w:sz w:val="32"/>
          <w:szCs w:val="32"/>
          <w:u w:val="none"/>
          <w:lang w:val="en-US" w:eastAsia="zh-CN"/>
        </w:rPr>
        <w:t>二</w:t>
      </w:r>
      <w:r>
        <w:rPr>
          <w:rFonts w:hint="default" w:ascii="Times New Roman" w:hAnsi="Times New Roman" w:eastAsia="方正仿宋_GBK" w:cs="Times New Roman"/>
          <w:b w:val="0"/>
          <w:bCs w:val="0"/>
          <w:color w:val="auto"/>
          <w:sz w:val="32"/>
          <w:szCs w:val="32"/>
          <w:lang w:val="en-US" w:eastAsia="zh-CN"/>
        </w:rPr>
        <w:t>是</w:t>
      </w:r>
      <w:r>
        <w:rPr>
          <w:rFonts w:hint="default" w:ascii="Times New Roman" w:hAnsi="Times New Roman" w:eastAsia="方正仿宋_GBK" w:cs="Times New Roman"/>
          <w:color w:val="auto"/>
          <w:sz w:val="32"/>
          <w:szCs w:val="32"/>
          <w:lang w:eastAsia="zh-CN"/>
        </w:rPr>
        <w:t>深入落实</w:t>
      </w:r>
      <w:r>
        <w:rPr>
          <w:rFonts w:hint="default" w:ascii="Times New Roman" w:hAnsi="Times New Roman" w:eastAsia="方正仿宋_GBK" w:cs="Times New Roman"/>
          <w:color w:val="auto"/>
          <w:sz w:val="32"/>
          <w:szCs w:val="32"/>
        </w:rPr>
        <w:t>行政执法公示制度</w:t>
      </w:r>
      <w:r>
        <w:rPr>
          <w:rFonts w:hint="default" w:ascii="Times New Roman" w:hAnsi="Times New Roman" w:eastAsia="方正仿宋_GBK" w:cs="Times New Roman"/>
          <w:color w:val="auto"/>
          <w:sz w:val="32"/>
          <w:szCs w:val="32"/>
          <w:lang w:eastAsia="zh-CN"/>
        </w:rPr>
        <w:t>、全过程记录制度、重大执法决定法制审核制度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行政执法公示制度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以清单的形式</w:t>
      </w:r>
      <w:r>
        <w:rPr>
          <w:rFonts w:hint="default" w:ascii="Times New Roman" w:hAnsi="Times New Roman" w:eastAsia="方正仿宋_GBK" w:cs="Times New Roman"/>
          <w:color w:val="auto"/>
          <w:sz w:val="32"/>
          <w:szCs w:val="32"/>
          <w:lang w:eastAsia="zh-CN"/>
        </w:rPr>
        <w:t>向社会公布</w:t>
      </w:r>
      <w:r>
        <w:rPr>
          <w:rFonts w:hint="default" w:ascii="Times New Roman" w:hAnsi="Times New Roman" w:eastAsia="方正仿宋_GBK" w:cs="Times New Roman"/>
          <w:color w:val="auto"/>
          <w:sz w:val="32"/>
          <w:szCs w:val="32"/>
        </w:rPr>
        <w:t>权责事项</w:t>
      </w:r>
      <w:r>
        <w:rPr>
          <w:rFonts w:hint="default" w:ascii="Times New Roman" w:hAnsi="Times New Roman" w:eastAsia="方正仿宋_GBK" w:cs="Times New Roman"/>
          <w:color w:val="auto"/>
          <w:sz w:val="32"/>
          <w:szCs w:val="32"/>
          <w:lang w:eastAsia="zh-CN"/>
        </w:rPr>
        <w:t>，要求每名</w:t>
      </w:r>
      <w:r>
        <w:rPr>
          <w:rFonts w:hint="default" w:ascii="Times New Roman" w:hAnsi="Times New Roman" w:eastAsia="方正仿宋_GBK" w:cs="Times New Roman"/>
          <w:color w:val="auto"/>
          <w:sz w:val="32"/>
          <w:szCs w:val="32"/>
        </w:rPr>
        <w:t>行政执法人员在执法过程中</w:t>
      </w:r>
      <w:r>
        <w:rPr>
          <w:rFonts w:hint="default" w:ascii="Times New Roman" w:hAnsi="Times New Roman" w:eastAsia="方正仿宋_GBK" w:cs="Times New Roman"/>
          <w:color w:val="auto"/>
          <w:sz w:val="32"/>
          <w:szCs w:val="32"/>
          <w:lang w:eastAsia="zh-CN"/>
        </w:rPr>
        <w:t>按照程序</w:t>
      </w:r>
      <w:r>
        <w:rPr>
          <w:rFonts w:hint="default" w:ascii="Times New Roman" w:hAnsi="Times New Roman" w:eastAsia="方正仿宋_GBK" w:cs="Times New Roman"/>
          <w:color w:val="auto"/>
          <w:sz w:val="32"/>
          <w:szCs w:val="32"/>
        </w:rPr>
        <w:t>出示执法证件，出具执法文书，并告知说明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将行政处罚文书</w:t>
      </w:r>
      <w:r>
        <w:rPr>
          <w:rFonts w:hint="default" w:ascii="Times New Roman" w:hAnsi="Times New Roman" w:eastAsia="方正仿宋_GBK" w:cs="Times New Roman"/>
          <w:color w:val="auto"/>
          <w:sz w:val="32"/>
          <w:szCs w:val="32"/>
          <w:lang w:eastAsia="zh-CN"/>
        </w:rPr>
        <w:t>、行政检查结果</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kern w:val="2"/>
          <w:sz w:val="32"/>
          <w:szCs w:val="32"/>
          <w:lang w:val="en-US" w:eastAsia="zh-CN" w:bidi="ar-SA"/>
        </w:rPr>
        <w:t>区政府指定的网站上进行公示，接受群众监督，今年以来共公示行政处罚</w:t>
      </w:r>
      <w:r>
        <w:rPr>
          <w:rFonts w:hint="default" w:ascii="Times New Roman" w:hAnsi="Times New Roman" w:eastAsia="方正仿宋_GBK" w:cs="Times New Roman"/>
          <w:color w:val="auto"/>
          <w:sz w:val="32"/>
          <w:szCs w:val="32"/>
          <w:lang w:val="en-US" w:eastAsia="zh-CN"/>
        </w:rPr>
        <w:t>案件22件，检查结果24条，</w:t>
      </w:r>
      <w:r>
        <w:rPr>
          <w:rFonts w:hint="default" w:ascii="Times New Roman" w:hAnsi="Times New Roman" w:eastAsia="方正仿宋_GBK" w:cs="Times New Roman"/>
          <w:color w:val="auto"/>
          <w:kern w:val="2"/>
          <w:sz w:val="32"/>
          <w:szCs w:val="32"/>
          <w:lang w:val="en-US" w:eastAsia="zh-CN" w:bidi="ar-SA"/>
        </w:rPr>
        <w:t>做到了应公示尽公示；推进执法全过程记录制度，规范文字记录，要求所有执法队员在执法以及日常巡查过程中</w:t>
      </w:r>
      <w:r>
        <w:rPr>
          <w:rFonts w:hint="default" w:ascii="Times New Roman" w:hAnsi="Times New Roman" w:eastAsia="方正仿宋_GBK" w:cs="Times New Roman"/>
          <w:color w:val="auto"/>
          <w:sz w:val="32"/>
          <w:szCs w:val="32"/>
        </w:rPr>
        <w:t>均认真填写执法巡查记录，做好执法文书规范填写、归档</w:t>
      </w:r>
      <w:r>
        <w:rPr>
          <w:rFonts w:hint="default" w:ascii="Times New Roman" w:hAnsi="Times New Roman" w:eastAsia="方正仿宋_GBK" w:cs="Times New Roman"/>
          <w:color w:val="auto"/>
          <w:sz w:val="32"/>
          <w:szCs w:val="32"/>
          <w:lang w:eastAsia="zh-CN"/>
        </w:rPr>
        <w:t>，同时为</w:t>
      </w:r>
      <w:r>
        <w:rPr>
          <w:rFonts w:hint="default" w:ascii="Times New Roman" w:hAnsi="Times New Roman" w:eastAsia="方正仿宋_GBK" w:cs="Times New Roman"/>
          <w:color w:val="auto"/>
          <w:sz w:val="32"/>
          <w:szCs w:val="32"/>
        </w:rPr>
        <w:t>一线执法人员均配备执法记录仪</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数据采集机，对执法过程进行全程摄像取证记录，有效防止了执法争议</w:t>
      </w:r>
      <w:r>
        <w:rPr>
          <w:rFonts w:hint="default" w:ascii="Times New Roman" w:hAnsi="Times New Roman" w:eastAsia="方正仿宋_GBK" w:cs="Times New Roman"/>
          <w:color w:val="auto"/>
          <w:sz w:val="32"/>
          <w:szCs w:val="32"/>
          <w:lang w:eastAsia="zh-CN"/>
        </w:rPr>
        <w:t>；严格落实重大执法决定法制审核制度，</w:t>
      </w:r>
      <w:r>
        <w:rPr>
          <w:rFonts w:hint="default" w:ascii="Times New Roman" w:hAnsi="Times New Roman" w:eastAsia="方正仿宋_GBK" w:cs="Times New Roman"/>
          <w:color w:val="auto"/>
          <w:sz w:val="32"/>
          <w:szCs w:val="32"/>
        </w:rPr>
        <w:t>由局执法监督</w:t>
      </w:r>
      <w:r>
        <w:rPr>
          <w:rFonts w:hint="default" w:ascii="Times New Roman" w:hAnsi="Times New Roman" w:eastAsia="方正仿宋_GBK" w:cs="Times New Roman"/>
          <w:color w:val="auto"/>
          <w:sz w:val="32"/>
          <w:szCs w:val="32"/>
          <w:lang w:eastAsia="zh-CN"/>
        </w:rPr>
        <w:t>科</w:t>
      </w:r>
      <w:r>
        <w:rPr>
          <w:rFonts w:hint="default" w:ascii="Times New Roman" w:hAnsi="Times New Roman" w:eastAsia="方正仿宋_GBK" w:cs="Times New Roman"/>
          <w:color w:val="auto"/>
          <w:sz w:val="32"/>
          <w:szCs w:val="32"/>
        </w:rPr>
        <w:t>作为法制审核机构承担局重大执法决定法制审核委员会日常工作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做到法制审核机构与执法机构“审办分离”</w:t>
      </w:r>
      <w:r>
        <w:rPr>
          <w:rFonts w:hint="default" w:ascii="Times New Roman" w:hAnsi="Times New Roman" w:eastAsia="方正仿宋_GBK" w:cs="Times New Roman"/>
          <w:color w:val="auto"/>
          <w:sz w:val="32"/>
          <w:szCs w:val="32"/>
          <w:lang w:eastAsia="zh-CN"/>
        </w:rPr>
        <w:t>，今年</w:t>
      </w:r>
      <w:r>
        <w:rPr>
          <w:rFonts w:hint="default" w:ascii="Times New Roman" w:hAnsi="Times New Roman" w:eastAsia="方正仿宋_GBK" w:cs="Times New Roman"/>
          <w:color w:val="auto"/>
          <w:sz w:val="32"/>
          <w:szCs w:val="32"/>
        </w:rPr>
        <w:t>共集体讨论决定案件</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件</w:t>
      </w:r>
      <w:r>
        <w:rPr>
          <w:rFonts w:hint="default" w:ascii="Times New Roman" w:hAnsi="Times New Roman" w:eastAsia="方正仿宋_GBK" w:cs="Times New Roman"/>
          <w:color w:val="auto"/>
          <w:sz w:val="32"/>
          <w:szCs w:val="32"/>
          <w:lang w:val="en-US" w:eastAsia="zh-CN"/>
        </w:rPr>
        <w:t>。三是</w:t>
      </w:r>
      <w:r>
        <w:rPr>
          <w:rFonts w:hint="default" w:ascii="Times New Roman" w:hAnsi="Times New Roman" w:eastAsia="方正仿宋_GBK" w:cs="Times New Roman"/>
          <w:color w:val="000000"/>
          <w:sz w:val="32"/>
          <w:szCs w:val="32"/>
          <w:lang w:val="en-US" w:eastAsia="zh-CN"/>
        </w:rPr>
        <w:t>投入200万元建成</w:t>
      </w:r>
      <w:r>
        <w:rPr>
          <w:rFonts w:hint="eastAsia" w:eastAsia="方正仿宋_GBK" w:cs="Times New Roman"/>
          <w:color w:val="000000"/>
          <w:sz w:val="32"/>
          <w:szCs w:val="32"/>
          <w:lang w:val="en-US" w:eastAsia="zh-CN"/>
        </w:rPr>
        <w:t>渣车</w:t>
      </w:r>
      <w:r>
        <w:rPr>
          <w:rFonts w:hint="default" w:ascii="Times New Roman" w:hAnsi="Times New Roman" w:eastAsia="方正仿宋_GBK" w:cs="Times New Roman"/>
          <w:color w:val="000000"/>
          <w:sz w:val="32"/>
          <w:szCs w:val="32"/>
          <w:lang w:val="en-US" w:eastAsia="zh-CN"/>
        </w:rPr>
        <w:t>监管平台，线上自动分析识别渣车冒装、黑车、脏污并报警，发现处理违规车辆1.2万车次。</w:t>
      </w:r>
      <w:r>
        <w:rPr>
          <w:rFonts w:hint="default" w:ascii="Times New Roman" w:hAnsi="Times New Roman" w:eastAsia="方正仿宋_GBK" w:cs="Times New Roman"/>
          <w:color w:val="000000"/>
          <w:sz w:val="32"/>
          <w:szCs w:val="32"/>
          <w:lang w:eastAsia="zh-CN"/>
        </w:rPr>
        <w:t>调整充实渣土监管一线巡查人员，检查渣土车辆3121辆次，</w:t>
      </w:r>
      <w:r>
        <w:rPr>
          <w:rFonts w:hint="default" w:ascii="Times New Roman" w:hAnsi="Times New Roman" w:eastAsia="方正仿宋_GBK" w:cs="Times New Roman"/>
          <w:color w:val="000000"/>
          <w:sz w:val="32"/>
          <w:szCs w:val="32"/>
          <w:lang w:val="en-US" w:eastAsia="zh-CN"/>
        </w:rPr>
        <w:t>督促整改</w:t>
      </w:r>
      <w:r>
        <w:rPr>
          <w:rFonts w:hint="default" w:ascii="Times New Roman" w:hAnsi="Times New Roman" w:eastAsia="方正仿宋_GBK" w:cs="Times New Roman"/>
          <w:color w:val="000000"/>
          <w:sz w:val="32"/>
          <w:szCs w:val="32"/>
          <w:lang w:eastAsia="zh-CN"/>
        </w:rPr>
        <w:t>867辆次，立案60件，罚款21万元。</w:t>
      </w:r>
      <w:r>
        <w:rPr>
          <w:rFonts w:hint="default" w:ascii="Times New Roman" w:hAnsi="Times New Roman" w:eastAsia="方正仿宋_GBK" w:cs="Times New Roman"/>
          <w:color w:val="auto"/>
          <w:sz w:val="32"/>
          <w:szCs w:val="32"/>
          <w:lang w:eastAsia="zh-CN"/>
        </w:rPr>
        <w:t>四是按照区“两违”办安排部署深入摸排违法建筑，做实做细经营性自建房台账，引导新入住小区业主规范装修。全力完成本年度市对区目标考核任务，累计立案查处违法建筑29处，共发出责停通知1729份，上报区政府强制拆除5件，冻结房产1607户，停止供水供电233户，共整治存量违法建设4.22万方米，其中拆除2.19万平方米，罚没3124万元，整治新增违法建设5405平方米，全部拆除。</w:t>
      </w:r>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napToGrid w:val="0"/>
          <w:color w:val="auto"/>
          <w:kern w:val="0"/>
          <w:sz w:val="32"/>
          <w:szCs w:val="32"/>
          <w:u w:val="none"/>
          <w:lang w:val="en-US" w:eastAsia="zh-CN"/>
        </w:rPr>
        <w:t>（四）严格落实程序规定，确保行政决策科学民主合法。</w:t>
      </w:r>
      <w:r>
        <w:rPr>
          <w:rFonts w:hint="default" w:ascii="Times New Roman" w:hAnsi="Times New Roman" w:eastAsia="方正仿宋_GBK" w:cs="Times New Roman"/>
          <w:b w:val="0"/>
          <w:bCs w:val="0"/>
          <w:color w:val="auto"/>
          <w:kern w:val="2"/>
          <w:sz w:val="32"/>
          <w:szCs w:val="32"/>
          <w:lang w:val="en-US" w:eastAsia="zh-CN" w:bidi="ar-SA"/>
        </w:rPr>
        <w:t>一是</w:t>
      </w:r>
      <w:r>
        <w:rPr>
          <w:rFonts w:hint="default" w:ascii="Times New Roman" w:hAnsi="Times New Roman" w:eastAsia="方正仿宋_GBK" w:cs="Times New Roman"/>
          <w:color w:val="auto"/>
          <w:sz w:val="32"/>
          <w:szCs w:val="32"/>
          <w:lang w:val="en-US" w:eastAsia="zh-CN"/>
        </w:rPr>
        <w:t>强化依法决策意识，严格落实重大行政决策程序。</w:t>
      </w:r>
      <w:r>
        <w:rPr>
          <w:rFonts w:hint="default" w:ascii="Times New Roman" w:hAnsi="Times New Roman" w:eastAsia="方正仿宋_GBK" w:cs="Times New Roman"/>
          <w:color w:val="auto"/>
          <w:sz w:val="32"/>
          <w:szCs w:val="32"/>
        </w:rPr>
        <w:t>全面贯彻落实《重庆市重大决策程序规定》，严格履行公众参与、专家论证、风险评估、合法性审查、集体讨论决定等法定程序。推行公用事业重大民生决策民意调查制度，事关经济社会发展、城市管理工作全局和涉及群众切身利益的重大行政决策事项，应当广泛听取意见。</w:t>
      </w:r>
      <w:r>
        <w:rPr>
          <w:rFonts w:hint="default" w:ascii="Times New Roman" w:hAnsi="Times New Roman" w:eastAsia="方正仿宋_GBK" w:cs="Times New Roman"/>
          <w:color w:val="auto"/>
          <w:sz w:val="32"/>
          <w:szCs w:val="32"/>
          <w:lang w:eastAsia="zh-CN"/>
        </w:rPr>
        <w:t>二是强化</w:t>
      </w:r>
      <w:r>
        <w:rPr>
          <w:rFonts w:hint="default" w:ascii="Times New Roman" w:hAnsi="Times New Roman" w:eastAsia="方正仿宋_GBK" w:cs="Times New Roman"/>
          <w:snapToGrid w:val="0"/>
          <w:color w:val="auto"/>
          <w:kern w:val="0"/>
          <w:sz w:val="32"/>
          <w:szCs w:val="32"/>
          <w:u w:val="none"/>
          <w:lang w:val="en-US" w:eastAsia="zh-CN"/>
        </w:rPr>
        <w:t>智库运用。充分利用法律顾问、城市管理技术专家库、园林高级职称评审专家库，做好专家咨询论证评审、合法性审核，提高决策科学性合法性。三</w:t>
      </w:r>
      <w:r>
        <w:rPr>
          <w:rFonts w:hint="default" w:ascii="Times New Roman" w:hAnsi="Times New Roman" w:eastAsia="方正仿宋_GBK" w:cs="Times New Roman"/>
          <w:color w:val="auto"/>
          <w:sz w:val="32"/>
          <w:szCs w:val="32"/>
          <w:lang w:eastAsia="zh-CN"/>
        </w:rPr>
        <w:t>是</w:t>
      </w:r>
      <w:r>
        <w:rPr>
          <w:rFonts w:hint="default" w:ascii="Times New Roman" w:hAnsi="Times New Roman" w:eastAsia="方正仿宋_GBK" w:cs="Times New Roman"/>
          <w:color w:val="auto"/>
          <w:sz w:val="32"/>
          <w:szCs w:val="32"/>
          <w:lang w:val="en-US" w:eastAsia="zh-CN"/>
        </w:rPr>
        <w:t>严格履行制发程序，加强行政规范性文件监督管理。</w:t>
      </w:r>
      <w:r>
        <w:rPr>
          <w:rFonts w:hint="default" w:ascii="Times New Roman" w:hAnsi="Times New Roman" w:eastAsia="方正仿宋_GBK" w:cs="Times New Roman"/>
          <w:color w:val="auto"/>
          <w:sz w:val="32"/>
          <w:szCs w:val="32"/>
        </w:rPr>
        <w:t>全面落实《重庆市规范性文件管理办法》，依法依规制定行政规范性文件，严禁越权发文、严控发文数量。</w:t>
      </w:r>
      <w:r>
        <w:rPr>
          <w:rFonts w:hint="default" w:ascii="Times New Roman" w:hAnsi="Times New Roman" w:eastAsia="方正仿宋_GBK" w:cs="Times New Roman"/>
          <w:snapToGrid w:val="0"/>
          <w:color w:val="auto"/>
          <w:kern w:val="0"/>
          <w:sz w:val="32"/>
          <w:szCs w:val="32"/>
          <w:u w:val="none"/>
          <w:lang w:val="en-US" w:eastAsia="zh-CN"/>
        </w:rPr>
        <w:t>是切实把好法制审核关。全面开展规范性文件清理工作，全</w:t>
      </w:r>
      <w:r>
        <w:rPr>
          <w:rFonts w:hint="default" w:ascii="Times New Roman" w:hAnsi="Times New Roman" w:eastAsia="方正仿宋_GBK" w:cs="Times New Roman"/>
          <w:color w:val="auto"/>
          <w:sz w:val="32"/>
          <w:szCs w:val="32"/>
          <w:lang w:val="en-US" w:eastAsia="zh-CN"/>
        </w:rPr>
        <w:t>年审查合同</w:t>
      </w:r>
      <w:r>
        <w:rPr>
          <w:rFonts w:hint="eastAsia"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lang w:val="en-US" w:eastAsia="zh-CN"/>
        </w:rPr>
        <w:t>余份，提出修改意见建议600余条，有效防范法律风险。</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五）创新城市治理方式，有效提升城市管理领域社会矛盾纠纷预防调处化解能力。一是广泛开展普法宣传。全面落实“谁执法谁普法”责任制，利用城市管理部门“3.19”主题服务宣传周、“马路办公、马路普法”、执法办案等时机，依托巴南城管微信公众号、12319城市管理服务热线等平台，组织开展法治宣传教育活动。二是依法做好行政复议和行政应诉工作。2023年先后参与行政诉讼12件、行政复议7件,行政负责人出庭率达100%。三是做好信访稳定工作。深入学习宣传贯彻《信访工作条例》，牵头办理区党代表提案、人大建议、政协提案和信访维稳工作，截</w:t>
      </w:r>
      <w:r>
        <w:rPr>
          <w:rFonts w:hint="eastAsia" w:eastAsia="方正仿宋_GBK" w:cs="Times New Roman"/>
          <w:snapToGrid w:val="0"/>
          <w:color w:val="auto"/>
          <w:kern w:val="0"/>
          <w:sz w:val="32"/>
          <w:szCs w:val="32"/>
          <w:u w:val="none"/>
          <w:lang w:val="en-US" w:eastAsia="zh-CN"/>
        </w:rPr>
        <w:t>至</w:t>
      </w:r>
      <w:bookmarkStart w:id="0" w:name="_GoBack"/>
      <w:bookmarkEnd w:id="0"/>
      <w:r>
        <w:rPr>
          <w:rFonts w:hint="default" w:ascii="Times New Roman" w:hAnsi="Times New Roman" w:eastAsia="方正仿宋_GBK" w:cs="Times New Roman"/>
          <w:snapToGrid w:val="0"/>
          <w:color w:val="auto"/>
          <w:kern w:val="0"/>
          <w:sz w:val="32"/>
          <w:szCs w:val="32"/>
          <w:u w:val="none"/>
          <w:lang w:val="en-US" w:eastAsia="zh-CN"/>
        </w:rPr>
        <w:t>目前共办理信访系统投诉1</w:t>
      </w:r>
      <w:r>
        <w:rPr>
          <w:rFonts w:hint="eastAsia" w:eastAsia="方正仿宋_GBK" w:cs="Times New Roman"/>
          <w:snapToGrid w:val="0"/>
          <w:color w:val="auto"/>
          <w:kern w:val="0"/>
          <w:sz w:val="32"/>
          <w:szCs w:val="32"/>
          <w:u w:val="none"/>
          <w:lang w:val="en-US" w:eastAsia="zh-CN"/>
        </w:rPr>
        <w:t>58</w:t>
      </w:r>
      <w:r>
        <w:rPr>
          <w:rFonts w:hint="default" w:ascii="Times New Roman" w:hAnsi="Times New Roman" w:eastAsia="方正仿宋_GBK" w:cs="Times New Roman"/>
          <w:snapToGrid w:val="0"/>
          <w:color w:val="auto"/>
          <w:kern w:val="0"/>
          <w:sz w:val="32"/>
          <w:szCs w:val="32"/>
          <w:u w:val="none"/>
          <w:lang w:val="en-US" w:eastAsia="zh-CN"/>
        </w:rPr>
        <w:t>件、群工系统</w:t>
      </w:r>
      <w:r>
        <w:rPr>
          <w:rFonts w:hint="eastAsia" w:eastAsia="方正仿宋_GBK" w:cs="Times New Roman"/>
          <w:snapToGrid w:val="0"/>
          <w:color w:val="auto"/>
          <w:kern w:val="0"/>
          <w:sz w:val="32"/>
          <w:szCs w:val="32"/>
          <w:u w:val="none"/>
          <w:lang w:val="en-US" w:eastAsia="zh-CN"/>
        </w:rPr>
        <w:t>902</w:t>
      </w:r>
      <w:r>
        <w:rPr>
          <w:rFonts w:hint="default" w:ascii="Times New Roman" w:hAnsi="Times New Roman" w:eastAsia="方正仿宋_GBK" w:cs="Times New Roman"/>
          <w:snapToGrid w:val="0"/>
          <w:color w:val="auto"/>
          <w:kern w:val="0"/>
          <w:sz w:val="32"/>
          <w:szCs w:val="32"/>
          <w:u w:val="none"/>
          <w:lang w:val="en-US" w:eastAsia="zh-CN"/>
        </w:rPr>
        <w:t>件、公开信箱</w:t>
      </w:r>
      <w:r>
        <w:rPr>
          <w:rFonts w:hint="eastAsia" w:eastAsia="方正仿宋_GBK" w:cs="Times New Roman"/>
          <w:snapToGrid w:val="0"/>
          <w:color w:val="auto"/>
          <w:kern w:val="0"/>
          <w:sz w:val="32"/>
          <w:szCs w:val="32"/>
          <w:u w:val="none"/>
          <w:lang w:val="en-US" w:eastAsia="zh-CN"/>
        </w:rPr>
        <w:t>40</w:t>
      </w:r>
      <w:r>
        <w:rPr>
          <w:rFonts w:hint="default" w:ascii="Times New Roman" w:hAnsi="Times New Roman" w:eastAsia="方正仿宋_GBK" w:cs="Times New Roman"/>
          <w:snapToGrid w:val="0"/>
          <w:color w:val="auto"/>
          <w:kern w:val="0"/>
          <w:sz w:val="32"/>
          <w:szCs w:val="32"/>
          <w:u w:val="none"/>
          <w:lang w:val="en-US" w:eastAsia="zh-CN"/>
        </w:rPr>
        <w:t>件，实现回复率和按期办结率100%。</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auto"/>
          <w:sz w:val="32"/>
          <w:szCs w:val="32"/>
        </w:rPr>
        <w:t>二、</w:t>
      </w:r>
      <w:r>
        <w:rPr>
          <w:rFonts w:hint="default" w:ascii="Times New Roman" w:hAnsi="Times New Roman" w:eastAsia="方正黑体_GBK" w:cs="Times New Roman"/>
          <w:color w:val="000000"/>
          <w:sz w:val="32"/>
          <w:szCs w:val="32"/>
        </w:rPr>
        <w:t>主要负责人法治政府建设履职情况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切实履行“第一责任人”职责。党政主要负责人认真履行推进法治建设第一责任人职责任务清单，持续抓好各项工作任务落实，坚持将法治建设纳入我局年度工作要点，定期召开局长办公会研究法治政府建设相关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强化组织领导，发挥示范效应。党政主要负责人对法治建设重要工作坚持做到亲自部署、重大问题亲自过问、重点环节亲自协调、重要任务亲自督办，同时教育引导班子成员及机关党员干部不断提高运用法治思维和法治方式深化改革、推动发展、化解矛盾、维护稳定的能力，依法行政工作能力和法治化工作水平明显提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rPr>
        <w:t>（三）严格执行依法决策程序。每年向区政府报告上一年度法治政府建设情况，并以文件形式向社会公开年度法治政府工作报告。严格落实公文审批和办理、执行力、纪律和作风、监督制度等各方面做到有章可循，严格遵守，明确重大事项议事内容、决策程序。严格执行班子集体依法决策程序，及时强化行政政策、项目活动的可行性、合理性和可控性，对可能引发重大问题的事项进行评估，使重大事项决策更具科学性。</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textAlignment w:val="auto"/>
        <w:outlineLvl w:val="9"/>
        <w:rPr>
          <w:rFonts w:hint="default" w:ascii="Times New Roman" w:hAnsi="Times New Roman" w:eastAsia="方正黑体_GBK" w:cs="Times New Roman"/>
          <w:snapToGrid w:val="0"/>
          <w:color w:val="auto"/>
          <w:kern w:val="0"/>
          <w:sz w:val="32"/>
          <w:szCs w:val="32"/>
          <w:u w:val="none"/>
          <w:lang w:val="en-US" w:eastAsia="zh-CN"/>
        </w:rPr>
      </w:pPr>
      <w:r>
        <w:rPr>
          <w:rFonts w:hint="default" w:ascii="Times New Roman" w:hAnsi="Times New Roman" w:eastAsia="方正黑体_GBK" w:cs="Times New Roman"/>
          <w:snapToGrid w:val="0"/>
          <w:color w:val="auto"/>
          <w:kern w:val="0"/>
          <w:sz w:val="32"/>
          <w:szCs w:val="32"/>
          <w:u w:val="none"/>
          <w:lang w:val="en-US" w:eastAsia="zh-CN"/>
        </w:rPr>
        <w:t>三、存在的主要问题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部分同志对法治建设的重要认识不够。领导干部职工的法治意识、法治思维、法治方式有所提升，但入脑入心、自觉主动运用法律的意识仍有差距，部分同志对法治政府建设的理解较为片面，对法治建设理解简单，认为法治建设仅限于</w:t>
      </w:r>
      <w:r>
        <w:rPr>
          <w:rFonts w:hint="eastAsia" w:eastAsia="方正仿宋_GBK" w:cs="Times New Roman"/>
          <w:color w:val="auto"/>
          <w:sz w:val="32"/>
          <w:szCs w:val="32"/>
          <w:lang w:eastAsia="zh-CN"/>
        </w:rPr>
        <w:t>执法监督科</w:t>
      </w:r>
      <w:r>
        <w:rPr>
          <w:rFonts w:hint="default" w:ascii="Times New Roman" w:hAnsi="Times New Roman" w:eastAsia="方正仿宋_GBK" w:cs="Times New Roman"/>
          <w:color w:val="auto"/>
          <w:sz w:val="32"/>
          <w:szCs w:val="32"/>
        </w:rPr>
        <w:t>一个部门的工作，忽视了法治建设对全局工作统筹的重要性，对依法行政的认识还需要进一步提高。</w:t>
      </w:r>
      <w:r>
        <w:rPr>
          <w:rFonts w:hint="default" w:ascii="Times New Roman" w:hAnsi="Times New Roman" w:eastAsia="宋体"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二）法治建设创新亮点工作缺乏。当前开展法治建设工作的形式较为单一，依法行政创新力度不足、特色工作不多，不能充分结合自身的实际情况制定具有特色的加强法治政府建设的工作举措，特别在法治培训及法治宣传工作中，满足于传统的学习、宣传形式，尚未能够充分结合当前“互联网＋”背景，运用现代科技开展相关工作的意识和能力不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napToGrid w:val="0"/>
          <w:color w:val="auto"/>
          <w:kern w:val="0"/>
          <w:sz w:val="32"/>
          <w:szCs w:val="32"/>
          <w:u w:val="none"/>
          <w:lang w:val="en-US" w:eastAsia="zh-CN"/>
        </w:rPr>
        <w:t>（三）法治建设的队伍力量较为薄弱。</w:t>
      </w:r>
      <w:r>
        <w:rPr>
          <w:rFonts w:hint="default" w:ascii="Times New Roman" w:hAnsi="Times New Roman" w:eastAsia="方正仿宋_GBK" w:cs="Times New Roman"/>
          <w:color w:val="auto"/>
          <w:sz w:val="32"/>
          <w:szCs w:val="32"/>
        </w:rPr>
        <w:t>执法干部队伍中部分同志法律专业素养、法律知识储备明显存在缺陷，与当前法治政府建设工作的要求存在不小差距，很多执法人员不能够适应、调整、灵活运用执法中面临的新情况、新问题和新任务，执法能力有待进一步提高。</w:t>
      </w:r>
      <w:r>
        <w:rPr>
          <w:rFonts w:hint="default" w:ascii="Times New Roman" w:hAnsi="Times New Roman" w:eastAsia="宋体"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textAlignment w:val="auto"/>
        <w:outlineLvl w:val="9"/>
        <w:rPr>
          <w:rFonts w:hint="default" w:ascii="Times New Roman" w:hAnsi="Times New Roman" w:eastAsia="方正黑体_GBK" w:cs="Times New Roman"/>
          <w:snapToGrid w:val="0"/>
          <w:color w:val="auto"/>
          <w:kern w:val="0"/>
          <w:sz w:val="32"/>
          <w:szCs w:val="32"/>
          <w:u w:val="none"/>
          <w:lang w:val="en-US" w:eastAsia="zh-CN"/>
        </w:rPr>
      </w:pPr>
      <w:r>
        <w:rPr>
          <w:rFonts w:hint="eastAsia" w:eastAsia="方正黑体_GBK" w:cs="Times New Roman"/>
          <w:snapToGrid w:val="0"/>
          <w:color w:val="auto"/>
          <w:kern w:val="0"/>
          <w:sz w:val="32"/>
          <w:szCs w:val="32"/>
          <w:u w:val="none"/>
          <w:lang w:val="en-US" w:eastAsia="zh-CN"/>
        </w:rPr>
        <w:t>四</w:t>
      </w:r>
      <w:r>
        <w:rPr>
          <w:rFonts w:hint="default" w:ascii="Times New Roman" w:hAnsi="Times New Roman" w:eastAsia="方正黑体_GBK" w:cs="Times New Roman"/>
          <w:snapToGrid w:val="0"/>
          <w:color w:val="auto"/>
          <w:kern w:val="0"/>
          <w:sz w:val="32"/>
          <w:szCs w:val="32"/>
          <w:u w:val="none"/>
          <w:lang w:val="en-US" w:eastAsia="zh-CN"/>
        </w:rPr>
        <w:t>、下一步工作打算</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202</w:t>
      </w:r>
      <w:r>
        <w:rPr>
          <w:rFonts w:hint="eastAsia" w:eastAsia="方正仿宋_GBK" w:cs="Times New Roman"/>
          <w:snapToGrid w:val="0"/>
          <w:color w:val="auto"/>
          <w:kern w:val="0"/>
          <w:sz w:val="32"/>
          <w:szCs w:val="32"/>
          <w:u w:val="none"/>
          <w:lang w:val="en-US" w:eastAsia="zh-CN"/>
        </w:rPr>
        <w:t>4</w:t>
      </w:r>
      <w:r>
        <w:rPr>
          <w:rFonts w:hint="default" w:ascii="Times New Roman" w:hAnsi="Times New Roman" w:eastAsia="方正仿宋_GBK" w:cs="Times New Roman"/>
          <w:snapToGrid w:val="0"/>
          <w:color w:val="auto"/>
          <w:kern w:val="0"/>
          <w:sz w:val="32"/>
          <w:szCs w:val="32"/>
          <w:u w:val="none"/>
          <w:lang w:val="en-US" w:eastAsia="zh-CN"/>
        </w:rPr>
        <w:t>年，我局将以习近平新时代中国特色社会主义思想和习近平法治思想为指导，全面贯彻落实党的二十大精神、法治政府建设实施纲要等相关要求，重点推进以下工作。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一）大力提升城市管理执法服务能力水平。持续深化执法体制改革，配合做好行政执法事项下放工作。健全完善城市管理领域环境治理、城市运行安全、法治化营商环境、城市管理秩序、城市违法建设等执法监督体系。加快推进行政执法信息化建设。全面推行严格规范公正文明执法，全面严格落实行政执法公示、执法全过程记录、重大执法决定法制审核制度。建立重大执法决定法制审核目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二）深入推进普法依法治理。落实城市管理“八五”普法规划，深入持久开展习近平法治思想、宪法、行政处罚法宣传教育活动，全面落实“谁执法谁普法”普法责任制，加大城市管理领域地方性法规学习宣传贯彻力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（三）持续深化“放管服”改革优化营商环境。对接市城市管理局营商环境改革牵头处室，做好“水电气联办系统”和“2023年一件事一次办”改革 涉及渝快办网申平台服务事项的领取和配置工作。持续抓好学习，按照深化全区政务服务“一门、一网、一窗、一次”改革，提升政务服务标准化、规范化、便利化、智慧化水平，进一步把握工作重点不断推进工作落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i w:val="0"/>
          <w:caps w:val="0"/>
          <w:color w:val="auto"/>
          <w:spacing w:val="0"/>
          <w:sz w:val="32"/>
          <w:szCs w:val="32"/>
          <w:lang w:val="en-US" w:eastAsia="zh-CN"/>
        </w:rPr>
        <w:t>（四）有效排查化解社会矛盾纠纷。深入贯彻《信访工作条例》，建立健全信访工作责任体系，健全完善矛盾纠纷化解机制，完善城市管理领域行政调解工作制度，健全就地解决群众合理诉求机制，完善“城管进社区”工作机制。认真做好行政复议和行政应诉相关工作。丰富政务公开途径，提高政务公开质量。</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rPr>
          <w:rFonts w:hint="default" w:ascii="Times New Roman" w:hAnsi="Times New Roman" w:eastAsia="宋体" w:cs="Times New Roman"/>
          <w:color w:val="auto"/>
          <w:sz w:val="21"/>
          <w:lang w:eastAsia="zh-Hans"/>
        </w:rPr>
      </w:pPr>
    </w:p>
    <w:p>
      <w:pPr>
        <w:pStyle w:val="2"/>
        <w:rPr>
          <w:rFonts w:hint="default"/>
          <w:lang w:eastAsia="zh-Hans"/>
        </w:rPr>
      </w:pPr>
    </w:p>
    <w:p>
      <w:pPr>
        <w:keepNext w:val="0"/>
        <w:keepLines w:val="0"/>
        <w:pageBreakBefore w:val="0"/>
        <w:widowControl w:val="0"/>
        <w:kinsoku/>
        <w:wordWrap/>
        <w:overflowPunct/>
        <w:topLinePunct w:val="0"/>
        <w:autoSpaceDE/>
        <w:autoSpaceDN/>
        <w:bidi w:val="0"/>
        <w:spacing w:line="560" w:lineRule="exact"/>
        <w:ind w:left="0" w:leftChars="0" w:right="0" w:rightChars="0" w:firstLine="3840" w:firstLineChars="1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重庆市巴南区城市管理局</w:t>
      </w:r>
    </w:p>
    <w:p>
      <w:pPr>
        <w:keepNext w:val="0"/>
        <w:keepLines w:val="0"/>
        <w:pageBreakBefore w:val="0"/>
        <w:widowControl w:val="0"/>
        <w:kinsoku/>
        <w:wordWrap/>
        <w:overflowPunct/>
        <w:topLinePunct w:val="0"/>
        <w:autoSpaceDE/>
        <w:autoSpaceDN/>
        <w:bidi w:val="0"/>
        <w:spacing w:line="560" w:lineRule="exact"/>
        <w:ind w:left="0" w:leftChars="0" w:right="0" w:rightChars="0" w:firstLine="4480" w:firstLineChars="1400"/>
        <w:textAlignment w:val="auto"/>
        <w:rPr>
          <w:rFonts w:hint="eastAsia" w:ascii="Times New Roman" w:hAnsi="Times New Roman" w:eastAsia="仿宋_GB2312" w:cs="Times New Roman"/>
          <w:color w:val="auto"/>
          <w:lang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eastAsia" w:eastAsia="方正仿宋_GBK" w:cs="Times New Roman"/>
          <w:color w:val="auto"/>
          <w:sz w:val="32"/>
          <w:szCs w:val="32"/>
          <w:lang w:val="en-US" w:eastAsia="zh-CN"/>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方正仿宋_GBK" w:hAnsi="方正仿宋_GBK" w:eastAsia="方正仿宋_GBK" w:cs="方正仿宋_GBK"/>
                              <w:color w:val="auto"/>
                              <w:sz w:val="28"/>
                              <w:szCs w:val="28"/>
                              <w:lang w:eastAsia="zh-CN"/>
                            </w:rPr>
                            <w:fldChar w:fldCharType="begin"/>
                          </w:r>
                          <w:r>
                            <w:rPr>
                              <w:rFonts w:hint="eastAsia" w:ascii="方正仿宋_GBK" w:hAnsi="方正仿宋_GBK" w:eastAsia="方正仿宋_GBK" w:cs="方正仿宋_GBK"/>
                              <w:color w:val="auto"/>
                              <w:sz w:val="28"/>
                              <w:szCs w:val="28"/>
                              <w:lang w:eastAsia="zh-CN"/>
                            </w:rPr>
                            <w:instrText xml:space="preserve"> PAGE  \* MERGEFORMAT </w:instrText>
                          </w:r>
                          <w:r>
                            <w:rPr>
                              <w:rFonts w:hint="eastAsia" w:ascii="方正仿宋_GBK" w:hAnsi="方正仿宋_GBK" w:eastAsia="方正仿宋_GBK" w:cs="方正仿宋_GBK"/>
                              <w:color w:val="auto"/>
                              <w:sz w:val="28"/>
                              <w:szCs w:val="28"/>
                              <w:lang w:eastAsia="zh-CN"/>
                            </w:rPr>
                            <w:fldChar w:fldCharType="separate"/>
                          </w:r>
                          <w:r>
                            <w:rPr>
                              <w:rFonts w:hint="eastAsia" w:ascii="方正仿宋_GBK" w:hAnsi="方正仿宋_GBK" w:eastAsia="方正仿宋_GBK" w:cs="方正仿宋_GBK"/>
                              <w:color w:val="auto"/>
                              <w:sz w:val="28"/>
                              <w:szCs w:val="28"/>
                              <w:lang w:eastAsia="zh-CN"/>
                            </w:rPr>
                            <w:t>1</w:t>
                          </w:r>
                          <w:r>
                            <w:rPr>
                              <w:rFonts w:hint="eastAsia" w:ascii="方正仿宋_GBK" w:hAnsi="方正仿宋_GBK" w:eastAsia="方正仿宋_GBK" w:cs="方正仿宋_GBK"/>
                              <w:color w:val="auto"/>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方正仿宋_GBK" w:hAnsi="方正仿宋_GBK" w:eastAsia="方正仿宋_GBK" w:cs="方正仿宋_GBK"/>
                        <w:color w:val="auto"/>
                        <w:sz w:val="28"/>
                        <w:szCs w:val="28"/>
                        <w:lang w:eastAsia="zh-CN"/>
                      </w:rPr>
                      <w:fldChar w:fldCharType="begin"/>
                    </w:r>
                    <w:r>
                      <w:rPr>
                        <w:rFonts w:hint="eastAsia" w:ascii="方正仿宋_GBK" w:hAnsi="方正仿宋_GBK" w:eastAsia="方正仿宋_GBK" w:cs="方正仿宋_GBK"/>
                        <w:color w:val="auto"/>
                        <w:sz w:val="28"/>
                        <w:szCs w:val="28"/>
                        <w:lang w:eastAsia="zh-CN"/>
                      </w:rPr>
                      <w:instrText xml:space="preserve"> PAGE  \* MERGEFORMAT </w:instrText>
                    </w:r>
                    <w:r>
                      <w:rPr>
                        <w:rFonts w:hint="eastAsia" w:ascii="方正仿宋_GBK" w:hAnsi="方正仿宋_GBK" w:eastAsia="方正仿宋_GBK" w:cs="方正仿宋_GBK"/>
                        <w:color w:val="auto"/>
                        <w:sz w:val="28"/>
                        <w:szCs w:val="28"/>
                        <w:lang w:eastAsia="zh-CN"/>
                      </w:rPr>
                      <w:fldChar w:fldCharType="separate"/>
                    </w:r>
                    <w:r>
                      <w:rPr>
                        <w:rFonts w:hint="eastAsia" w:ascii="方正仿宋_GBK" w:hAnsi="方正仿宋_GBK" w:eastAsia="方正仿宋_GBK" w:cs="方正仿宋_GBK"/>
                        <w:color w:val="auto"/>
                        <w:sz w:val="28"/>
                        <w:szCs w:val="28"/>
                        <w:lang w:eastAsia="zh-CN"/>
                      </w:rPr>
                      <w:t>1</w:t>
                    </w:r>
                    <w:r>
                      <w:rPr>
                        <w:rFonts w:hint="eastAsia" w:ascii="方正仿宋_GBK" w:hAnsi="方正仿宋_GBK" w:eastAsia="方正仿宋_GBK" w:cs="方正仿宋_GBK"/>
                        <w:color w:val="auto"/>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4D8A1"/>
    <w:multiLevelType w:val="singleLevel"/>
    <w:tmpl w:val="65A4D8A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C7251"/>
    <w:rsid w:val="06436850"/>
    <w:rsid w:val="0D2655F3"/>
    <w:rsid w:val="0E0C7251"/>
    <w:rsid w:val="2B936C94"/>
    <w:rsid w:val="2D4268BF"/>
    <w:rsid w:val="35393666"/>
    <w:rsid w:val="3B2449D0"/>
    <w:rsid w:val="43AA7C4E"/>
    <w:rsid w:val="43B00909"/>
    <w:rsid w:val="4EDF1E2D"/>
    <w:rsid w:val="65F63616"/>
    <w:rsid w:val="73F42DA5"/>
    <w:rsid w:val="77CA11FE"/>
    <w:rsid w:val="7EE5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FF0000"/>
      <w:kern w:val="2"/>
      <w:sz w:val="3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Times New Roman" w:hAnsi="Times New Roman" w:eastAsia="宋体" w:cs="Times New Roman"/>
      <w:sz w:val="18"/>
      <w:szCs w:val="18"/>
      <w:lang w:bidi="ar-SA"/>
    </w:rPr>
  </w:style>
  <w:style w:type="paragraph" w:customStyle="1" w:styleId="3">
    <w:name w:val="索引 51"/>
    <w:basedOn w:val="1"/>
    <w:next w:val="1"/>
    <w:qFormat/>
    <w:uiPriority w:val="0"/>
    <w:pPr>
      <w:ind w:left="1680"/>
    </w:pPr>
  </w:style>
  <w:style w:type="paragraph" w:styleId="4">
    <w:name w:val="Body Text"/>
    <w:basedOn w:val="1"/>
    <w:next w:val="1"/>
    <w:qFormat/>
    <w:uiPriority w:val="0"/>
    <w:rPr>
      <w:rFonts w:eastAsia="仿宋_GB231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2024-01-15T11:42:00Z</dcterms:created>
  <dc:creator>Administrator</dc:creator>
  <cp:lastModifiedBy>greatwall</cp:lastModifiedBy>
  <cp:lastPrinted>2024-01-15T15:15:00Z</cp:lastPrinted>
  <dcterms:modified xsi:type="dcterms:W3CDTF">2024-02-01T08:59:22Z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