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ind w:firstLine="2200" w:firstLineChars="500"/>
        <w:jc w:val="both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bCs/>
          <w:color w:val="000000"/>
          <w:sz w:val="44"/>
          <w:szCs w:val="44"/>
          <w:lang w:eastAsia="zh-CN"/>
        </w:rPr>
        <w:t>巴南区</w:t>
      </w: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民政局</w:t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准予行政许可决定书</w:t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楷体_GB2312"/>
          <w:color w:val="000000"/>
          <w:sz w:val="28"/>
        </w:rPr>
      </w:pPr>
    </w:p>
    <w:p>
      <w:pPr>
        <w:overflowPunct w:val="0"/>
        <w:snapToGrid w:val="0"/>
        <w:spacing w:line="579" w:lineRule="exact"/>
        <w:jc w:val="right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lang w:eastAsia="zh-CN"/>
        </w:rPr>
        <w:t>巴民</w:t>
      </w:r>
      <w:r>
        <w:rPr>
          <w:rFonts w:ascii="Times New Roman" w:hAnsi="Times New Roman" w:eastAsia="方正楷体_GBK"/>
          <w:color w:val="000000"/>
          <w:sz w:val="32"/>
          <w:szCs w:val="32"/>
        </w:rPr>
        <w:t>准字〔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楷体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楷体_GBK"/>
          <w:color w:val="000000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方正楷体_GBK"/>
          <w:color w:val="000000"/>
          <w:sz w:val="32"/>
          <w:szCs w:val="32"/>
        </w:rPr>
        <w:t>号</w:t>
      </w:r>
    </w:p>
    <w:p>
      <w:pPr>
        <w:overflowPunct w:val="0"/>
        <w:snapToGrid w:val="0"/>
        <w:spacing w:line="579" w:lineRule="exact"/>
        <w:rPr>
          <w:rFonts w:hint="eastAsia" w:ascii="Times New Roman" w:hAnsi="Times New Roman" w:eastAsia="仿宋_GB2312"/>
          <w:color w:val="000000"/>
          <w:sz w:val="3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0"/>
          <w:lang w:val="en-US" w:eastAsia="zh-CN"/>
        </w:rPr>
        <w:t xml:space="preserve"> 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重庆市巴南区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江南水乡幼儿园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60" w:lineRule="exact"/>
        <w:ind w:left="0" w:leftChars="0" w:right="0" w:rightChars="0" w:firstLine="645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日向本机关申请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注销重庆市巴南区江南水乡幼儿园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的材料收悉。经审查，符合法律规定的条件，根据《</w:t>
      </w:r>
      <w:r>
        <w:rPr>
          <w:rFonts w:hint="eastAsia" w:ascii="方正仿宋_GBK" w:hAnsi="方正仿宋_GBK" w:eastAsia="方正仿宋_GBK" w:cs="方正仿宋_GBK"/>
          <w:sz w:val="32"/>
        </w:rPr>
        <w:t>民办非企业单位登记管理暂行条例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》第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三章第十六条、第十七</w:t>
      </w:r>
      <w:r>
        <w:rPr>
          <w:rFonts w:ascii="Times New Roman" w:hAnsi="Times New Roman" w:eastAsia="方正仿宋_GBK"/>
          <w:color w:val="000000"/>
          <w:sz w:val="32"/>
          <w:szCs w:val="32"/>
        </w:rPr>
        <w:t>条和《中华人民共和国行政许可法》第三十八条第一款的规定，本机关决定准予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重庆市巴南区江南水乡幼儿园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注销</w:t>
      </w:r>
      <w:r>
        <w:rPr>
          <w:rFonts w:hint="eastAsia" w:ascii="方正仿宋_GBK" w:hAnsi="方正仿宋_GBK" w:eastAsia="方正仿宋_GBK" w:cs="方正仿宋_GBK"/>
          <w:sz w:val="32"/>
        </w:rPr>
        <w:t>登记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从即日起不得再以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重庆市巴南区江南水乡幼儿园的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名义开展一切活动。</w:t>
      </w:r>
    </w:p>
    <w:p>
      <w:pPr>
        <w:overflowPunct w:val="0"/>
        <w:snapToGrid w:val="0"/>
        <w:spacing w:line="579" w:lineRule="exact"/>
        <w:ind w:firstLine="601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重庆市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巴南区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民政局</w:t>
      </w:r>
    </w:p>
    <w:p>
      <w:pPr>
        <w:overflowPunct w:val="0"/>
        <w:snapToGrid w:val="0"/>
        <w:spacing w:line="579" w:lineRule="exact"/>
        <w:ind w:firstLine="600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1AB3"/>
    <w:rsid w:val="172E117D"/>
    <w:rsid w:val="1BE56A08"/>
    <w:rsid w:val="240F0D63"/>
    <w:rsid w:val="2DA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2024-10-17T09:00:00Z</cp:lastPrinted>
  <dcterms:modified xsi:type="dcterms:W3CDTF">2024-11-14T01:15:18Z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