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pict>
          <v:shape id="AutoShape 6" o:spid="_x0000_s1028" type="#_x0000_t136" style="position:absolute;left:0;margin-left:4.8pt;margin-top:13.8pt;height:64.35pt;width:446.65pt;mso-wrap-distance-bottom:0pt;mso-wrap-distance-left:9pt;mso-wrap-distance-right:9pt;mso-wrap-distance-top:0pt;rotation:0f;z-index:251659264;" o:ole="f" fillcolor="#C00000" filled="t" o:preferrelative="t" stroked="t" coordorigin="0,0" coordsize="21600,21600" o:allowoverlap="f" adj="10800">
            <v:stroke color="#C00000" color2="#FFFFFF" miterlimit="2"/>
            <v:imagedata gain="65536f" blacklevel="0f" gamma="0"/>
            <o:lock v:ext="edit" position="f" selection="f" grouping="f" rotation="f" cropping="f" text="f" aspectratio="f"/>
            <v:textpath on="t" fitshape="t" fitpath="t" trim="t" xscale="f" string="重庆市巴南区生态环境局文件" style="v-text-align:center;font-family:方正小标宋_GBK;font-size:36pt;v-rotate-letters:f;v-same-letter-heights:f;"/>
            <w10:wrap type="square"/>
          </v:shape>
        </w:pict>
      </w:r>
    </w:p>
    <w:p>
      <w:pPr>
        <w:widowControl w:val="0"/>
        <w:wordWrap/>
        <w:adjustRightInd/>
        <w:snapToGrid/>
        <w:spacing w:line="500" w:lineRule="exact"/>
        <w:ind w:firstLine="21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1"/>
          <w:szCs w:val="21"/>
        </w:rPr>
      </w:pPr>
    </w:p>
    <w:p>
      <w:pPr>
        <w:pStyle w:val="7"/>
        <w:rPr>
          <w:rFonts w:hint="default" w:ascii="Times New Roman" w:hAnsi="Times New Roman"/>
        </w:rPr>
      </w:pPr>
    </w:p>
    <w:p>
      <w:pPr>
        <w:ind w:firstLine="210" w:firstLineChars="100"/>
        <w:jc w:val="center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 w:eastAsia="zh-CN" w:bidi="ar-SA"/>
        </w:rPr>
        <w:pict>
          <v:shape id="直接箭头连接符 1" o:spid="_x0000_s1029" type="#_x0000_t32" style="position:absolute;left:0;flip:y;margin-left:-12pt;margin-top:30.75pt;height:0.25pt;width:475.9pt;rotation:0f;z-index:251660288;" o:ole="f" fillcolor="#FFFFFF" filled="t" o:preferrelative="t" stroked="t" coordorigin="0,0" coordsize="21600,21600">
            <v:stroke weight="2pt" color="#C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巴南环保发〔202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widowControl/>
        <w:tabs>
          <w:tab w:val="left" w:pos="7560"/>
          <w:tab w:val="left" w:pos="7875"/>
        </w:tabs>
        <w:wordWrap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宋体"/>
          <w:bCs/>
          <w:color w:val="auto"/>
          <w:spacing w:val="0"/>
          <w:kern w:val="36"/>
          <w:sz w:val="44"/>
          <w:szCs w:val="48"/>
          <w:lang w:val="en-US" w:eastAsia="zh-CN" w:bidi="ar-SA"/>
        </w:rPr>
      </w:pPr>
    </w:p>
    <w:p>
      <w:pPr>
        <w:widowControl/>
        <w:tabs>
          <w:tab w:val="left" w:pos="7560"/>
          <w:tab w:val="left" w:pos="7875"/>
        </w:tabs>
        <w:wordWrap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0"/>
        <w:rPr>
          <w:rFonts w:hint="eastAsia" w:ascii="Times New Roman" w:hAnsi="Times New Roman" w:eastAsia="方正小标宋_GBK" w:cs="宋体"/>
          <w:bCs/>
          <w:color w:val="auto"/>
          <w:spacing w:val="0"/>
          <w:kern w:val="36"/>
          <w:sz w:val="44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_GBK" w:cs="宋体"/>
          <w:bCs/>
          <w:color w:val="auto"/>
          <w:spacing w:val="0"/>
          <w:kern w:val="36"/>
          <w:sz w:val="44"/>
          <w:szCs w:val="48"/>
          <w:lang w:val="en-US" w:eastAsia="zh-CN" w:bidi="ar-SA"/>
        </w:rPr>
        <w:t>重庆市巴南区生态环境局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关于印发《巴南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区农村黑臭水体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长效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管控</w:t>
      </w:r>
    </w:p>
    <w:p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机制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》的通知</w:t>
      </w: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区住房城乡建委、区农业农村委、区城乡一体中心、区水利局、区城市管理局，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有关镇人民政府、街道办事处：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32"/>
          <w:szCs w:val="32"/>
          <w:shd w:val="clear" w:color="auto" w:fill="auto"/>
          <w:lang w:eastAsia="zh-CN"/>
        </w:rPr>
        <w:t>现将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《巴南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</w:rPr>
        <w:t>区农村黑臭水体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长效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</w:rPr>
        <w:t>管控机制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》印发你们，请遵照执行。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</w:p>
    <w:p>
      <w:pPr>
        <w:tabs>
          <w:tab w:val="left" w:pos="7560"/>
          <w:tab w:val="left" w:pos="7875"/>
        </w:tabs>
        <w:wordWrap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hd w:val="clear" w:color="auto" w:fill="auto"/>
          <w:lang w:val="en-US" w:eastAsia="zh-CN"/>
        </w:rPr>
        <w:t>重庆市巴南区生态环境局</w:t>
      </w:r>
    </w:p>
    <w:p>
      <w:pPr>
        <w:tabs>
          <w:tab w:val="left" w:pos="7560"/>
          <w:tab w:val="left" w:pos="7875"/>
        </w:tabs>
        <w:wordWrap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hd w:val="clear" w:color="auto" w:fill="auto"/>
          <w:lang w:val="en-US" w:eastAsia="zh-CN"/>
        </w:rPr>
        <w:t>2024年12月4日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（此件公开发布）</w:t>
      </w:r>
    </w:p>
    <w:p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44"/>
          <w:szCs w:val="44"/>
          <w:shd w:val="clear" w:color="auto" w:fill="auto"/>
        </w:rPr>
      </w:pPr>
    </w:p>
    <w:p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巴南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区农村黑臭水体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长效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管控机制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为深入打好农业农村污染防治攻坚战，持续改善农村人居环境，巩固农村黑臭水体治理成效，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农村黑臭水体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“长制久清”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，制定本机制。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</w:rPr>
        <w:t>总体目标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以巩固农村黑臭水体治理成果为重点，以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防止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农村黑臭水体返黑返臭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及新增黑臭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为目标，有效应对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水体可能发生的污染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，实现我区农村黑臭水体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“长制久清”。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对象范围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已治理完成并通过验收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水体，由于控源截污不彻底、新的污染源汇入、长制久清管理不到位等各种原因导致颜色明显异常或散发浓烈（难闻）气味或群众反映强烈，出现局部或全部返黑返臭现象，需要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及时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管控或治理的水体。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（二）各涉农镇街在日常巡查中发现的其他新增黑臭水体。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三、识别标准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感官判断。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依据《农村黑臭水体现场核查手册（试行）》，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根据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水体异味或颜色明显异常（如发黑、发黄、发白等）的感官特征进行判断。如果某已治理完成水体存在异味、颜色明显异常任意一种情况的，即认定该水体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可能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返黑返臭。如水体出现3处及以上感官异常或存在感官异常水域面积超过总水域面积50%，即认定为水体全部返黑返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臭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；如水体出现3处以下（不含3处）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感官异常且感官异常水域面积不超过总水域面积50%，即认定为水体局部返黑返臭。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水质监测。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水体监测指标包括透明度、溶解氧、氨氮3项指标，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其中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有1项未达到《农村黑臭水体治理工作指南（试行）》中农村黑臭水体监测指标限值，即认定该水体返黑返臭。采样点位设置、监测方法、监测时间等要求，需遵循国家及重庆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市的相关要求。如水体监测2个及以上点位超标，即认定为水体全部返黑返臭；如水体面积小于500平方米仅1个监测点位超标，认定为水体全部返黑返臭；如水体面积大于500平方米且仅1个监测点位超标，即认定为水体局部返黑返臭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（三）其他情况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富营养化次生灾害判断：在每年高温的4-9月，水体因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华爆发、浮萍泛滥、水葫芦疯长，水生生物激增等，导致水体异味明显或监测指标超标，应视为水体返黑返臭；少量浮萍生长，不视为返黑返臭。无污染源，仅透明度单项指标超标水体：对因自然因素（如暴雨，水体周边泥沙含量高等）或非排污行为（水体周边农田翻耕、修路施工等）导致泥沙含量较大，水体只是透明度指标超过阈值，不判定为水体返黑返臭。特殊监测：对季节性（高温蒸发严重）、断流性、水土流失严重等水体，监测时间可调整为10月。水体避免雨天、灾情（旱灾、洪灾等）期间采样，根据情况，下雨停止或灾情结束3天后采样。以上特殊情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下的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变化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未被当下明确为返黑返臭，需纳入隐患清单，加强巡查管理及不定期水质监测。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四、工作流程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（一）线索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发现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群众监督。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已治理完成水体周边居住村民通过监督电话、网络平台、部门信箱、微信公众号等方式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反映或河长巡查发现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水体颜色异常或散发浓烈（难闻）气味，初步判定为疑似返黑返臭水体，由区生态环境局联合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启动核查程序。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河长报告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。镇、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村级河长巡查发现水体颜色异常或散发浓烈（难闻）气味后，初步判定为疑似返黑返臭水体，应立即向属地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报告，属地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镇街核实处置后仍有异常的，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3个工作日内向区生态环境局报告，由区生态环境局联合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启动核查程序。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上级检查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上级部门对已治理完成农村黑臭水体现场检查期间，发现水体颜色异常或散发浓烈（难闻）气味，及时通报区生态环境局，初步判定为疑似返黑返臭水体，由区生态环境局联合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启动核查程序。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监测异常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已治理完成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农村黑臭水体，按《农村黑臭水体治理工作指南（试行）》要求，区生态环境局组织开展试点示范水体水质监测，每年第三季度至少监测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次，三项水体监测指标中任意1项不达标即为返黑返臭水体，由区生态环境局联合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启动核查程序。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核查程序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区生态环境局接收到疑似返黑返臭水体报告后，5个工作日内联合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开展返黑返臭黑臭核查确认，并详细记录核查登记表（附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件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2），确认不属于返黑返臭水体且无其他特殊情况继续实施常态化管理；确认属于返黑返臭水体纳入农村黑臭水体返黑返臭治理清单（附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件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3）；确认不属于返黑返臭但存在其他特殊情况的水体，纳入隐患排查清单，区生态环境部门每两个月进行一次现场回头看，连续三次现场巡查未发现明显问题，且排除其他特殊情况背景下，监测达标，则确认不属于返黑返臭水体实施常态化管理，否则应纳入农村黑臭水体返黑返臭治理清单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Cs/>
          <w:color w:val="auto"/>
          <w:sz w:val="32"/>
          <w:szCs w:val="40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Cs/>
          <w:color w:val="auto"/>
          <w:sz w:val="32"/>
          <w:szCs w:val="40"/>
        </w:rPr>
        <w:t>处置程序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在水体现状调查的基础上，坚持以污染源头管控为根本，按照“维护管理、污染控制、生态修复”的基本技术路线，明确整治目标，因地制宜开展系统治理。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维护管理。针对季节性、偶发性返黑返臭水体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以强化维护管理实施治理。及时维护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保障设施设备正常运行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；采取针对性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管护治理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措施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污染控制。针对由明显污染问题导致水体返黑返臭，通过污染源调查理清问题要害，结合污染类型，研究选择经济适用控制手段。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生态修复。在外源污染控制和内源污染消除的基础上，针对生态系统不稳定，容易出现水质超标的农村黑臭水体，可通过水系连通、生态净化、生态护岸等生态措施，恢复水体水动力、提升水生态系统稳定性、提高自然净化功能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响应时限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对核查确认返黑返臭水体启动处置机制。由区生态环境局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联合相关单位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分析污染成因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个工作日内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确定处置办法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返黑返臭水体处置工作完成后，治理效果评估由属地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提出申请，区生态环境局组织专家进行评估，评估标准参照《农村黑臭水体治理验收要求》，现场污染源管控到位、感官消黑除臭、水质监测达标即评估通过。如评估未通过则由评估专家提供整治意见，继续实施整治，治理效果评估通过后相应资料整理成档。国家监管级水体，需向市生态环境局报送备案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eastAsia="zh-CN"/>
        </w:rPr>
        <w:t>长效管控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区农村黑臭水体清零区创建工作专班、各街道（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）、村委会均应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结合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水体黑臭形成原因和治理措施开展针对性巡查，原则上村委会每周巡查一次、各街道（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）每月巡查一次，区级专班每2月巡查一次。在接到群众投诉举报情况下，均应在1个工作日内到达现场核查处置。各街道（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）为防止水体返黑返臭的责任主体，村委会和区级专班在巡查中发现的问题均应及时向街道（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）汇报、反馈。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FFFFFF"/>
          <w:lang w:eastAsia="zh-CN"/>
        </w:rPr>
        <w:t>工作要求</w:t>
      </w:r>
    </w:p>
    <w:p>
      <w:pPr>
        <w:widowControl w:val="0"/>
        <w:wordWrap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val="en-US" w:eastAsia="zh-CN"/>
        </w:rPr>
        <w:t xml:space="preserve">    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</w:rPr>
        <w:t>强化责任落实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各镇街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根据本辖区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农村黑臭水体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形成原因和治理措施，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制定防止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返黑返臭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的长效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管控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办法，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明确责任部门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和责任人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，定期开展巡查，发现异常排污、倾倒垃圾、设施损坏、植物衰败、水质恶化等情况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立查立改，并做好巡查及处理情况的台账记录，必要时进行取样检测，防范水体返黑返臭。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</w:rPr>
        <w:t>实施常态化管护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加强水体净化、生态修复等设施的常态化管护。开展水体长效保洁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，及时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打捞水面漂浮物，清理影响水生态系统稳定的植物、沿岸生活垃圾及其他废弃物等。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</w:rPr>
        <w:t>强化隐患排查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区生态环境局对出现过返黑返臭及其他容易出现返黑返臭的水体（附近涉及排污企业、畜禽养殖、水产养殖等）建立隐患清单，由属地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开展水体返黑返臭隐患排查。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40"/>
        </w:rPr>
        <w:t>加强宣传引导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加大宣传力度，利用网络媒体、微信公众号等手段，充分宣讲农村黑臭水体产生根源及相关政策，营造浓厚的舆论氛围，引导居民养成良好卫生习惯和行为方式，广泛动员各级各部门和广大人民群众共同参与，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增强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环境保护意识。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40"/>
          <w:lang w:eastAsia="zh-CN"/>
        </w:rPr>
        <w:t>（五）强化监督管理。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镇街应及时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将相关污染成因及整治信息向当地群众、媒体公开，区生态环境局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镇街工作情况进行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现场核实。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附件：1.农村黑臭水体返黑返臭处置工作流程图</w:t>
      </w:r>
    </w:p>
    <w:p>
      <w:pPr>
        <w:widowControl w:val="0"/>
        <w:wordWrap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2.返黑返臭水体核查登记表</w:t>
      </w:r>
    </w:p>
    <w:p>
      <w:pPr>
        <w:widowControl w:val="0"/>
        <w:wordWrap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3.农村黑臭水体返黑返臭治理清单</w:t>
      </w:r>
    </w:p>
    <w:p>
      <w:pPr>
        <w:widowControl w:val="0"/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wordWrap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40"/>
        </w:r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附件1</w:t>
      </w:r>
    </w:p>
    <w:p>
      <w:pPr>
        <w:pStyle w:val="12"/>
        <w:wordWrap/>
        <w:adjustRightInd/>
        <w:spacing w:line="560" w:lineRule="exact"/>
        <w:ind w:left="0" w:leftChars="0" w:firstLine="210" w:firstLineChars="100"/>
        <w:contextualSpacing/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21"/>
          <w:szCs w:val="24"/>
          <w:lang w:val="en-US" w:eastAsia="zh-CN" w:bidi="ar-SA"/>
        </w:rPr>
        <w:pict>
          <v:shape id="图片 1" o:spid="_x0000_s1030" type="#_x0000_t75" style="position:absolute;left:0;margin-left:5pt;margin-top:54pt;height:344.7pt;width:414.7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农村黑臭水体返黑返臭处置工作流程图</w:t>
      </w:r>
    </w:p>
    <w:p>
      <w:pPr>
        <w:pStyle w:val="2"/>
        <w:wordWrap/>
        <w:adjustRightInd/>
        <w:spacing w:line="560" w:lineRule="exact"/>
        <w:ind w:left="0" w:leftChars="0"/>
        <w:rPr>
          <w:rFonts w:hint="default" w:ascii="Times New Roman" w:hAnsi="Times New Roman"/>
        </w:r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cs="Times New Roman"/>
        </w:r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cs="Times New Roman"/>
        </w:r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6" w:h="16838"/>
          <w:pgMar w:top="2098" w:right="1531" w:bottom="1984" w:left="1531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附件2</w:t>
      </w:r>
    </w:p>
    <w:p>
      <w:pPr>
        <w:pStyle w:val="12"/>
        <w:wordWrap/>
        <w:adjustRightInd/>
        <w:spacing w:line="560" w:lineRule="exact"/>
        <w:ind w:left="0" w:leftChars="0" w:firstLine="320" w:firstLineChars="100"/>
        <w:contextualSpacing/>
        <w:jc w:val="center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返黑返臭水体核查登记表</w:t>
      </w:r>
    </w:p>
    <w:tbl>
      <w:tblPr>
        <w:tblStyle w:val="11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23"/>
        <w:gridCol w:w="600"/>
        <w:gridCol w:w="810"/>
        <w:gridCol w:w="1123"/>
        <w:gridCol w:w="1217"/>
        <w:gridCol w:w="614"/>
        <w:gridCol w:w="405"/>
        <w:gridCol w:w="80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8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水体名称</w:t>
            </w:r>
          </w:p>
        </w:tc>
        <w:tc>
          <w:tcPr>
            <w:tcW w:w="3256" w:type="dxa"/>
            <w:gridSpan w:val="4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面积 m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天气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区县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  <w:lang w:eastAsia="zh-CN"/>
              </w:rPr>
              <w:t>镇街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（街道）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行政村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水体类型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监管级别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河□沟渠□塘□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国家□市级□区县□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687" w:type="dxa"/>
            <w:gridSpan w:val="10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返黑返臭判定条件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343" w:type="dxa"/>
            <w:gridSpan w:val="5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1.感官识别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344" w:type="dxa"/>
            <w:gridSpan w:val="5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2.水质监测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颜色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臭味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透明度 (cm)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10" w:type="dxa"/>
            <w:gridSpan w:val="3"/>
            <w:vMerge w:val="restart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发黑□ </w:t>
            </w: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发黄□ </w:t>
            </w: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发白□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有 □</w:t>
            </w: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无 □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溶解氧 (mg/L)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10" w:type="dxa"/>
            <w:gridSpan w:val="3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氨氮 (mg/L)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Cs w:val="21"/>
              </w:rPr>
              <w:t>是否返黑返臭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否□  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2"/>
              </w:rPr>
              <w:t>是否存在季节性黑臭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否□    是□（春□、夏□、秋□、冬□）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返黑返臭范围评估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</w:rPr>
              <w:t>全部返黑返臭□    局部返黑返臭□（大致占比：  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治理工程调查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□控源截污：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□内源清淤：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□生态修复：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□水系连通：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返黑返臭成因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□农村生活污水污染：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□畜禽养殖污染：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□水产养殖污染：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□种植业污染：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□企业排污：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□生活垃圾和生产废弃物污染：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□底泥淤积：</w:t>
            </w:r>
          </w:p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□农厕粪污污染：</w:t>
            </w:r>
          </w:p>
          <w:p>
            <w:pPr>
              <w:wordWrap/>
              <w:adjustRightInd/>
              <w:spacing w:line="400" w:lineRule="exact"/>
              <w:ind w:left="0" w:leftChars="0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□其他污染：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Cs w:val="21"/>
              </w:rPr>
              <w:t>治理建议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idowControl/>
              <w:wordWrap/>
              <w:adjustRightInd/>
              <w:snapToGrid w:val="0"/>
              <w:spacing w:line="400" w:lineRule="exact"/>
              <w:ind w:left="0" w:leftChars="0"/>
              <w:contextualSpacing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kern w:val="0"/>
                <w:szCs w:val="21"/>
              </w:rPr>
              <w:t>水体现状图示（不低于3张）</w:t>
            </w:r>
          </w:p>
        </w:tc>
        <w:tc>
          <w:tcPr>
            <w:tcW w:w="6877" w:type="dxa"/>
            <w:gridSpan w:val="8"/>
            <w:vAlign w:val="center"/>
          </w:tcPr>
          <w:p>
            <w:pPr>
              <w:pStyle w:val="2"/>
              <w:wordWrap/>
              <w:adjustRightInd/>
              <w:spacing w:line="560" w:lineRule="exact"/>
              <w:ind w:left="0" w:leftChars="0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pacing w:line="560" w:lineRule="exact"/>
              <w:ind w:left="0" w:leftChars="0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  <w:p>
            <w:pPr>
              <w:pStyle w:val="2"/>
              <w:wordWrap/>
              <w:adjustRightInd/>
              <w:spacing w:line="560" w:lineRule="exact"/>
              <w:ind w:left="0" w:leftChars="0"/>
              <w:rPr>
                <w:rFonts w:hint="eastAsia" w:ascii="Times New Roman" w:hAnsi="Times New Roman" w:eastAsia="方正仿宋_GBK" w:cs="方正仿宋_GBK"/>
                <w:color w:val="333333"/>
                <w:kern w:val="0"/>
                <w:sz w:val="21"/>
                <w:szCs w:val="21"/>
              </w:rPr>
            </w:pPr>
          </w:p>
          <w:p>
            <w:pPr>
              <w:wordWrap/>
              <w:adjustRightInd/>
              <w:spacing w:line="560" w:lineRule="exact"/>
              <w:ind w:left="0" w:leftChars="0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  <w:p>
            <w:pPr>
              <w:widowControl/>
              <w:wordWrap/>
              <w:adjustRightInd/>
              <w:snapToGrid w:val="0"/>
              <w:spacing w:line="560" w:lineRule="exact"/>
              <w:ind w:left="0" w:leftChars="0"/>
              <w:contextualSpacing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rPr>
                <w:rFonts w:hint="eastAsia" w:ascii="Times New Roman" w:hAnsi="Times New Roman" w:eastAsia="方正仿宋_GBK" w:cs="方正仿宋_GBK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jc w:val="center"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kern w:val="0"/>
                <w:szCs w:val="21"/>
              </w:rPr>
              <w:t>核查人员</w:t>
            </w:r>
          </w:p>
        </w:tc>
        <w:tc>
          <w:tcPr>
            <w:tcW w:w="4364" w:type="dxa"/>
            <w:gridSpan w:val="5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wordWrap/>
              <w:adjustRightInd/>
              <w:snapToGrid w:val="0"/>
              <w:spacing w:line="560" w:lineRule="exact"/>
              <w:ind w:left="0" w:leftChars="0"/>
              <w:contextualSpacing/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日期：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</w:rPr>
              <w:t xml:space="preserve">   年   月   日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szCs w:val="21"/>
        </w:rPr>
        <w:t>备注：1.水质数据，透明度取整，溶解氧、氨氮保留2位小数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left="0" w:leftChars="0" w:firstLine="630" w:firstLineChars="3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治理工程调查：详细记录分类工程内容、工程量、工程现状等信息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left="0" w:leftChars="0" w:firstLine="630" w:firstLineChars="3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返黑返臭成因：详细记录污染现状、水量、负荷等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400" w:lineRule="exact"/>
        <w:ind w:left="0" w:leftChars="0" w:firstLine="630" w:firstLineChars="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Cs w:val="21"/>
        </w:rPr>
        <w:t>图示：记录现场起点、中段、终点、突出问题点位等水印图片。</w:t>
      </w:r>
    </w:p>
    <w:p>
      <w:pPr>
        <w:widowControl w:val="0"/>
        <w:wordWrap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ordWrap/>
        <w:adjustRightInd/>
        <w:spacing w:line="560" w:lineRule="exact"/>
        <w:ind w:left="0" w:leftChars="0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附件3</w:t>
      </w:r>
    </w:p>
    <w:p>
      <w:pPr>
        <w:wordWrap/>
        <w:adjustRightInd/>
        <w:spacing w:line="560" w:lineRule="exact"/>
        <w:ind w:left="0" w:leftChars="0"/>
        <w:jc w:val="center"/>
        <w:rPr>
          <w:rFonts w:hint="eastAsia" w:ascii="Times New Roman" w:hAnsi="Times New Roman" w:eastAsia="方正小标宋_GBK" w:cs="方正小标宋_GBK"/>
          <w:sz w:val="32"/>
          <w:szCs w:val="40"/>
        </w:rPr>
      </w:pPr>
      <w:r>
        <w:rPr>
          <w:rFonts w:hint="eastAsia" w:ascii="Times New Roman" w:hAnsi="Times New Roman" w:eastAsia="方正小标宋_GBK" w:cs="方正小标宋_GBK"/>
          <w:sz w:val="32"/>
          <w:szCs w:val="40"/>
        </w:rPr>
        <w:t>农村黑臭水体返黑返臭治理清单</w:t>
      </w:r>
    </w:p>
    <w:tbl>
      <w:tblPr>
        <w:tblStyle w:val="11"/>
        <w:tblW w:w="141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65"/>
        <w:gridCol w:w="480"/>
        <w:gridCol w:w="600"/>
        <w:gridCol w:w="510"/>
        <w:gridCol w:w="555"/>
        <w:gridCol w:w="525"/>
        <w:gridCol w:w="690"/>
        <w:gridCol w:w="1305"/>
        <w:gridCol w:w="1260"/>
        <w:gridCol w:w="1275"/>
        <w:gridCol w:w="1290"/>
        <w:gridCol w:w="1335"/>
        <w:gridCol w:w="1185"/>
        <w:gridCol w:w="750"/>
        <w:gridCol w:w="495"/>
        <w:gridCol w:w="585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水体名称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水体类型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监管级别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lang w:eastAsia="zh-CN"/>
              </w:rPr>
              <w:t>镇街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或街道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行政村或社区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水体面积 (m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)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返黑返臭判断依据</w:t>
            </w:r>
          </w:p>
        </w:tc>
        <w:tc>
          <w:tcPr>
            <w:tcW w:w="5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治理工程情况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主要污染问题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治理建议</w:t>
            </w:r>
          </w:p>
        </w:tc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感官识别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水质监测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控源截污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内源清淤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生态修复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水系连通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pacing w:line="560" w:lineRule="exact"/>
              <w:ind w:left="0" w:leftChars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注：1.黑臭水体面积取整数；</w:t>
      </w:r>
    </w:p>
    <w:p>
      <w:pPr>
        <w:widowControl w:val="0"/>
        <w:wordWrap/>
        <w:adjustRightInd/>
        <w:snapToGrid/>
        <w:spacing w:line="360" w:lineRule="exact"/>
        <w:ind w:left="0" w:leftChars="0" w:firstLine="420" w:firstLineChars="2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2.返黑返臭判断依据二项任填其中之一；</w:t>
      </w:r>
    </w:p>
    <w:p>
      <w:pPr>
        <w:widowControl w:val="0"/>
        <w:wordWrap/>
        <w:adjustRightInd/>
        <w:snapToGrid/>
        <w:spacing w:line="360" w:lineRule="exact"/>
        <w:ind w:left="0" w:leftChars="0" w:firstLine="420" w:firstLineChars="2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3.感官识别详细描述水体黑或臭特征；</w:t>
      </w:r>
    </w:p>
    <w:p>
      <w:pPr>
        <w:widowControl w:val="0"/>
        <w:wordWrap/>
        <w:adjustRightInd/>
        <w:snapToGrid/>
        <w:spacing w:line="360" w:lineRule="exact"/>
        <w:ind w:left="0" w:leftChars="0" w:firstLine="42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4.水质监测透明度取整，溶解氧、氨氮保留2位小数；</w:t>
      </w:r>
    </w:p>
    <w:p>
      <w:pPr>
        <w:widowControl w:val="0"/>
        <w:wordWrap/>
        <w:adjustRightInd/>
        <w:snapToGrid/>
        <w:spacing w:line="360" w:lineRule="exact"/>
        <w:ind w:left="0" w:leftChars="0" w:firstLine="42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5.治理工程情况：分类记录工程内容、工程量、设施现状等；</w:t>
      </w:r>
    </w:p>
    <w:p>
      <w:pPr>
        <w:widowControl w:val="0"/>
        <w:wordWrap/>
        <w:adjustRightInd/>
        <w:snapToGrid/>
        <w:spacing w:line="360" w:lineRule="exact"/>
        <w:ind w:left="0" w:leftChars="0" w:firstLine="42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6.主要污染问题包括：a.农村生活污水污染；b.畜禽养殖污染（注明规模）；c.水产养殖污染；d.种植业污染（若为堤防管理范围内种植请注明）；e.企业排污；f.生活垃圾和生产废弃物污染；g.底泥淤积；h.农厕粪污污染；i 其他污染问题等。分析黑臭成因，如实填写一种或几种农村黑臭水体形成原因（填写序号）。</w:t>
      </w:r>
    </w:p>
    <w:p>
      <w:pPr>
        <w:pStyle w:val="2"/>
        <w:rPr>
          <w:rFonts w:hint="default"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pStyle w:val="5"/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hint="default" w:ascii="Times New Roman" w:hAnsi="Times New Roma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>重庆市巴南区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  <w:lang w:eastAsia="zh-CN"/>
        </w:rPr>
        <w:t>生态环境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 xml:space="preserve">局办公室   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rPr>
        <w:rFonts w:ascii="Times New Roman" w:hAnsi="Times New Roma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25.1pt;width:88.45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8"/>
                  <w:widowControl w:val="0"/>
                  <w:wordWrap/>
                  <w:adjustRightInd/>
                  <w:snapToGrid/>
                  <w:jc w:val="center"/>
                  <w:textAlignment w:val="auto"/>
                  <w:rPr>
                    <w:rFonts w:hint="default" w:ascii="Times New Roman" w:hAnsi="Times New Roman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３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rPr>
        <w:rFonts w:ascii="Times New Roman" w:hAnsi="Times New Roman"/>
      </w:rPr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4" o:spid="_x0000_s1026" style="position:absolute;left:0;margin-top:0pt;height:29.95pt;width:103.55pt;mso-position-horizontal:outside;mso-position-horizontal-relative:margin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8"/>
                  <w:widowControl w:val="0"/>
                  <w:wordWrap/>
                  <w:adjustRightInd w:val="0"/>
                  <w:snapToGrid w:val="0"/>
                  <w:ind w:firstLine="0" w:firstLineChars="0"/>
                  <w:jc w:val="center"/>
                  <w:textAlignment w:val="auto"/>
                  <w:rPr>
                    <w:rFonts w:hint="default" w:ascii="Times New Roman" w:hAnsi="Times New Roman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9016851">
    <w:nsid w:val="041D1D13"/>
    <w:multiLevelType w:val="singleLevel"/>
    <w:tmpl w:val="041D1D13"/>
    <w:lvl w:ilvl="0" w:tentative="1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90168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FjOGZmZTVlNDc1ODM5ZjQ3NDFiOGRkYTZjNzlkM2YifQ=="/>
  </w:docVars>
  <w:rsids>
    <w:rsidRoot w:val="002070EA"/>
    <w:rsid w:val="00014C92"/>
    <w:rsid w:val="00032FB3"/>
    <w:rsid w:val="00141C1D"/>
    <w:rsid w:val="00191F11"/>
    <w:rsid w:val="002070EA"/>
    <w:rsid w:val="00295584"/>
    <w:rsid w:val="002E4359"/>
    <w:rsid w:val="003C0BC8"/>
    <w:rsid w:val="004709E7"/>
    <w:rsid w:val="004B66E9"/>
    <w:rsid w:val="008D103E"/>
    <w:rsid w:val="009917EC"/>
    <w:rsid w:val="00BC64FF"/>
    <w:rsid w:val="00C17D33"/>
    <w:rsid w:val="00C421F9"/>
    <w:rsid w:val="00D30E25"/>
    <w:rsid w:val="00E8376A"/>
    <w:rsid w:val="00EC0D60"/>
    <w:rsid w:val="00FE6045"/>
    <w:rsid w:val="02174D5E"/>
    <w:rsid w:val="02A660E8"/>
    <w:rsid w:val="0543218E"/>
    <w:rsid w:val="05573D16"/>
    <w:rsid w:val="05D830A9"/>
    <w:rsid w:val="064F5F4C"/>
    <w:rsid w:val="07C11743"/>
    <w:rsid w:val="0BE87144"/>
    <w:rsid w:val="0EDC38B6"/>
    <w:rsid w:val="0F427ADA"/>
    <w:rsid w:val="11205904"/>
    <w:rsid w:val="11440481"/>
    <w:rsid w:val="12EB3CF0"/>
    <w:rsid w:val="14635D01"/>
    <w:rsid w:val="16213376"/>
    <w:rsid w:val="1778009F"/>
    <w:rsid w:val="17A0779F"/>
    <w:rsid w:val="18183A2D"/>
    <w:rsid w:val="19836A30"/>
    <w:rsid w:val="1F643637"/>
    <w:rsid w:val="1F9706D3"/>
    <w:rsid w:val="20327ABA"/>
    <w:rsid w:val="217D46AF"/>
    <w:rsid w:val="221E19EC"/>
    <w:rsid w:val="23F569EC"/>
    <w:rsid w:val="241670CE"/>
    <w:rsid w:val="24C352A5"/>
    <w:rsid w:val="25B819DC"/>
    <w:rsid w:val="26457691"/>
    <w:rsid w:val="266F774F"/>
    <w:rsid w:val="26D50DAF"/>
    <w:rsid w:val="27FFC0BE"/>
    <w:rsid w:val="280E65D3"/>
    <w:rsid w:val="28550131"/>
    <w:rsid w:val="28940C5A"/>
    <w:rsid w:val="2A30050E"/>
    <w:rsid w:val="2A513CA3"/>
    <w:rsid w:val="2BDF2138"/>
    <w:rsid w:val="2BF51E5B"/>
    <w:rsid w:val="2D0C2D59"/>
    <w:rsid w:val="2FD23C7E"/>
    <w:rsid w:val="301A61A2"/>
    <w:rsid w:val="30667A9C"/>
    <w:rsid w:val="32131AED"/>
    <w:rsid w:val="323A2A84"/>
    <w:rsid w:val="32BC7B09"/>
    <w:rsid w:val="351429B9"/>
    <w:rsid w:val="35D96B2A"/>
    <w:rsid w:val="393E3825"/>
    <w:rsid w:val="3D7C26F6"/>
    <w:rsid w:val="3D9E17B4"/>
    <w:rsid w:val="402A5189"/>
    <w:rsid w:val="409477BE"/>
    <w:rsid w:val="415D5219"/>
    <w:rsid w:val="43095949"/>
    <w:rsid w:val="43332AB3"/>
    <w:rsid w:val="45CB1D25"/>
    <w:rsid w:val="47135FBB"/>
    <w:rsid w:val="492D3076"/>
    <w:rsid w:val="4BD94AEF"/>
    <w:rsid w:val="4C40066C"/>
    <w:rsid w:val="4CF832EB"/>
    <w:rsid w:val="4DDE0767"/>
    <w:rsid w:val="4ED162BC"/>
    <w:rsid w:val="4F6904C9"/>
    <w:rsid w:val="4FEB72E5"/>
    <w:rsid w:val="5217598C"/>
    <w:rsid w:val="52C915E9"/>
    <w:rsid w:val="54076307"/>
    <w:rsid w:val="54FB6582"/>
    <w:rsid w:val="553B4087"/>
    <w:rsid w:val="577355B5"/>
    <w:rsid w:val="57A124C1"/>
    <w:rsid w:val="584B5D8D"/>
    <w:rsid w:val="5A426FE0"/>
    <w:rsid w:val="5C011849"/>
    <w:rsid w:val="5C8356CE"/>
    <w:rsid w:val="5D0D47E6"/>
    <w:rsid w:val="5DCD5A99"/>
    <w:rsid w:val="5ED3747A"/>
    <w:rsid w:val="60B912F5"/>
    <w:rsid w:val="61645F91"/>
    <w:rsid w:val="61C52F03"/>
    <w:rsid w:val="61C75983"/>
    <w:rsid w:val="62620E75"/>
    <w:rsid w:val="627A38B4"/>
    <w:rsid w:val="631163D1"/>
    <w:rsid w:val="634916E5"/>
    <w:rsid w:val="642B45B1"/>
    <w:rsid w:val="647F52F0"/>
    <w:rsid w:val="65A5419B"/>
    <w:rsid w:val="67F735E9"/>
    <w:rsid w:val="68084D41"/>
    <w:rsid w:val="6A7A48B2"/>
    <w:rsid w:val="6BF44FF6"/>
    <w:rsid w:val="6F6811E2"/>
    <w:rsid w:val="6FB8204B"/>
    <w:rsid w:val="6FFDA777"/>
    <w:rsid w:val="70CA6BDB"/>
    <w:rsid w:val="71D7751A"/>
    <w:rsid w:val="74444D63"/>
    <w:rsid w:val="76535E39"/>
    <w:rsid w:val="77381D7D"/>
    <w:rsid w:val="787A48E2"/>
    <w:rsid w:val="787F83FE"/>
    <w:rsid w:val="7D5CF6C7"/>
    <w:rsid w:val="7D697A61"/>
    <w:rsid w:val="7DBF0ABA"/>
    <w:rsid w:val="7DED4D24"/>
    <w:rsid w:val="7E4234E1"/>
    <w:rsid w:val="7EF3A720"/>
    <w:rsid w:val="AD7E2406"/>
    <w:rsid w:val="CB7BCE03"/>
    <w:rsid w:val="CDFA7A86"/>
    <w:rsid w:val="D6A849AB"/>
    <w:rsid w:val="DCFB105C"/>
    <w:rsid w:val="FEFEED65"/>
    <w:rsid w:val="FFCF84FD"/>
    <w:rsid w:val="FFFE154B"/>
    <w:rsid w:val="FFFF42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Calibri" w:hAnsi="Calibri" w:eastAsia="方正仿宋_GBK"/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80" w:lineRule="auto"/>
      <w:jc w:val="left"/>
      <w:outlineLvl w:val="1"/>
    </w:pPr>
    <w:rPr>
      <w:rFonts w:ascii="Arial" w:hAnsi="Arial" w:eastAsia="方正仿宋_GBK"/>
      <w:b/>
      <w:sz w:val="32"/>
    </w:rPr>
  </w:style>
  <w:style w:type="paragraph" w:styleId="2">
    <w:name w:val="heading 4"/>
    <w:basedOn w:val="1"/>
    <w:next w:val="1"/>
    <w:qFormat/>
    <w:uiPriority w:val="0"/>
    <w:pPr>
      <w:spacing w:line="372" w:lineRule="auto"/>
      <w:outlineLvl w:val="3"/>
    </w:p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33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next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7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3945</Words>
  <Characters>4007</Characters>
  <Lines>36</Lines>
  <Paragraphs>10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2023-08-11T17:20:00Z</dcterms:created>
  <dc:creator>Administrator</dc:creator>
  <cp:lastModifiedBy>巴南区_巴南区环境行政执法支队_於小容</cp:lastModifiedBy>
  <cp:lastPrinted>2024-12-13T08:25:00Z</cp:lastPrinted>
  <dcterms:modified xsi:type="dcterms:W3CDTF">2024-12-13T08:39:19Z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AE288A0B26C7499695D1D527ABA978E8_13</vt:lpwstr>
  </property>
</Properties>
</file>