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default" w:ascii="Times New Roman" w:hAnsi="Times New Roman" w:eastAsia="方正小标宋_GBK" w:cs="Times New Roman"/>
          <w:b w:val="0"/>
          <w:bCs w:val="0"/>
          <w:color w:val="auto"/>
          <w:sz w:val="44"/>
          <w:szCs w:val="44"/>
        </w:rPr>
      </w:pP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pict>
          <v:shape id="AutoShape 6" o:spid="_x0000_s1026" o:spt="136" type="#_x0000_t136" style="position:absolute;left:0pt;margin-left:4.8pt;margin-top:13.8pt;height:64.35pt;width:446.65pt;mso-wrap-distance-bottom:0pt;mso-wrap-distance-left:9pt;mso-wrap-distance-right:9pt;mso-wrap-distance-top:0pt;z-index:251658240;mso-width-relative:page;mso-height-relative:page;" fillcolor="#C00000" filled="t" stroked="t" coordsize="21600,21600" o:allowoverlap="f" adj="10800">
            <v:path/>
            <v:fill on="t" color2="#FFFFFF" focussize="0,0"/>
            <v:stroke color="#C00000"/>
            <v:imagedata o:title=""/>
            <o:lock v:ext="edit" aspectratio="f"/>
            <v:textpath on="t" fitshape="t" fitpath="t" trim="t" xscale="f" string="重庆市巴南区生态环境局文件" style="font-family:方正小标宋_GBK;font-size:36pt;v-rotate-letters:f;v-same-letter-heights:f;v-text-align:center;"/>
            <w10:wrap type="square"/>
          </v:shape>
        </w:pict>
      </w:r>
    </w:p>
    <w:p>
      <w:pPr>
        <w:keepNext w:val="0"/>
        <w:keepLines w:val="0"/>
        <w:pageBreakBefore w:val="0"/>
        <w:widowControl w:val="0"/>
        <w:kinsoku/>
        <w:wordWrap/>
        <w:overflowPunct/>
        <w:topLinePunct w:val="0"/>
        <w:autoSpaceDE/>
        <w:autoSpaceDN/>
        <w:bidi w:val="0"/>
        <w:adjustRightInd/>
        <w:snapToGrid/>
        <w:spacing w:line="500" w:lineRule="exact"/>
        <w:ind w:firstLine="210" w:firstLineChars="100"/>
        <w:textAlignment w:val="auto"/>
        <w:outlineLvl w:val="9"/>
        <w:rPr>
          <w:rFonts w:hint="default" w:ascii="Times New Roman" w:hAnsi="Times New Roman" w:eastAsia="方正仿宋_GBK" w:cs="Times New Roman"/>
          <w:b w:val="0"/>
          <w:bCs w:val="0"/>
          <w:color w:val="auto"/>
          <w:sz w:val="21"/>
          <w:szCs w:val="21"/>
        </w:rPr>
      </w:pPr>
    </w:p>
    <w:p>
      <w:pPr>
        <w:ind w:firstLine="320" w:firstLineChars="100"/>
        <w:jc w:val="center"/>
        <w:rPr>
          <w:rFonts w:hint="default" w:ascii="Times New Roman" w:hAnsi="Times New Roman" w:eastAsia="方正楷体_GBK" w:cs="Times New Roman"/>
          <w:b w:val="0"/>
          <w:bCs w:val="0"/>
          <w:color w:val="auto"/>
          <w:sz w:val="32"/>
          <w:szCs w:val="32"/>
        </w:rPr>
      </w:pPr>
      <w:r>
        <w:rPr>
          <w:rFonts w:hint="default" w:ascii="Times New Roman" w:hAnsi="Times New Roman" w:eastAsia="方正仿宋_GBK" w:cs="Times New Roman"/>
          <w:b w:val="0"/>
          <w:bCs w:val="0"/>
          <w:color w:val="auto"/>
          <w:sz w:val="32"/>
          <w:szCs w:val="32"/>
        </w:rPr>
        <w:t>巴南环保发〔202</w:t>
      </w:r>
      <w:r>
        <w:rPr>
          <w:rFonts w:hint="eastAsia" w:ascii="Times New Roman" w:hAnsi="Times New Roman" w:eastAsia="方正仿宋_GBK" w:cs="Times New Roman"/>
          <w:b w:val="0"/>
          <w:bCs w:val="0"/>
          <w:color w:val="auto"/>
          <w:sz w:val="32"/>
          <w:szCs w:val="32"/>
          <w:lang w:val="en-US" w:eastAsia="zh-CN"/>
        </w:rPr>
        <w:t>5</w:t>
      </w:r>
      <w:r>
        <w:rPr>
          <w:rFonts w:hint="default" w:ascii="Times New Roman" w:hAnsi="Times New Roman" w:eastAsia="方正仿宋_GBK" w:cs="Times New Roman"/>
          <w:b w:val="0"/>
          <w:bCs w:val="0"/>
          <w:color w:val="auto"/>
          <w:sz w:val="32"/>
          <w:szCs w:val="32"/>
        </w:rPr>
        <w:t>〕</w:t>
      </w:r>
      <w:r>
        <w:rPr>
          <w:rFonts w:hint="eastAsia" w:ascii="Times New Roman" w:hAnsi="Times New Roman" w:eastAsia="方正仿宋_GBK" w:cs="Times New Roman"/>
          <w:b w:val="0"/>
          <w:bCs w:val="0"/>
          <w:color w:val="auto"/>
          <w:sz w:val="32"/>
          <w:szCs w:val="32"/>
          <w:lang w:val="en-US" w:eastAsia="zh-CN"/>
        </w:rPr>
        <w:t>6</w:t>
      </w:r>
      <w:r>
        <w:rPr>
          <w:rFonts w:hint="default" w:ascii="Times New Roman" w:hAnsi="Times New Roman" w:eastAsia="方正仿宋_GBK" w:cs="Times New Roman"/>
          <w:b w:val="0"/>
          <w:bCs w:val="0"/>
          <w:color w:val="auto"/>
          <w:sz w:val="32"/>
          <w:szCs w:val="32"/>
        </w:rPr>
        <w:t>号</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default" w:ascii="Times New Roman" w:hAnsi="Times New Roman" w:eastAsia="方正小标宋_GBK" w:cs="Times New Roman"/>
          <w:b w:val="0"/>
          <w:bCs w:val="0"/>
          <w:color w:val="auto"/>
          <w:sz w:val="44"/>
          <w:szCs w:val="44"/>
        </w:rPr>
      </w:pPr>
      <w:r>
        <w:rPr>
          <w:rFonts w:hint="default" w:ascii="Times New Roman" w:hAnsi="Times New Roman" w:cs="Times New Roman"/>
          <w:b w:val="0"/>
          <w:bCs w:val="0"/>
          <w:color w:val="auto"/>
        </w:rPr>
        <mc:AlternateContent>
          <mc:Choice Requires="wps">
            <w:drawing>
              <wp:anchor distT="0" distB="0" distL="114300" distR="114300" simplePos="0" relativeHeight="251659264" behindDoc="0" locked="0" layoutInCell="1" allowOverlap="1">
                <wp:simplePos x="0" y="0"/>
                <wp:positionH relativeFrom="column">
                  <wp:posOffset>-152400</wp:posOffset>
                </wp:positionH>
                <wp:positionV relativeFrom="paragraph">
                  <wp:posOffset>93345</wp:posOffset>
                </wp:positionV>
                <wp:extent cx="6043930" cy="3175"/>
                <wp:effectExtent l="0" t="0" r="0" b="0"/>
                <wp:wrapNone/>
                <wp:docPr id="2" name="直接箭头连接符 2"/>
                <wp:cNvGraphicFramePr/>
                <a:graphic xmlns:a="http://schemas.openxmlformats.org/drawingml/2006/main">
                  <a:graphicData uri="http://schemas.microsoft.com/office/word/2010/wordprocessingShape">
                    <wps:wsp>
                      <wps:cNvCnPr/>
                      <wps:spPr>
                        <a:xfrm flipV="1">
                          <a:off x="0" y="0"/>
                          <a:ext cx="6043930" cy="3175"/>
                        </a:xfrm>
                        <a:prstGeom prst="straightConnector1">
                          <a:avLst/>
                        </a:prstGeom>
                        <a:ln w="25400" cap="flat" cmpd="sng">
                          <a:solidFill>
                            <a:srgbClr val="C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2pt;margin-top:7.35pt;height:0.25pt;width:475.9pt;z-index:251659264;mso-width-relative:page;mso-height-relative:page;" filled="f" stroked="t" coordsize="21600,21600" o:gfxdata="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kVouj2gAAAAkBAAAPAAAAAAAAAAEAIAAAACIAAABkcnMvZG93bnJldi54bWxQSwEC&#10;FAAUAAAACACHTuJAuJFztPIBAAC6AwAADgAAAAAAAAABACAAAAApAQAAZHJzL2Uyb0RvYy54bWxQ&#10;SwUGAAAAAAYABgBZAQAAjQUAAAAA&#10;">
                <v:fill on="f" focussize="0,0"/>
                <v:stroke weight="2pt" color="#C00000" joinstyle="round"/>
                <v:imagedata o:title=""/>
                <o:lock v:ext="edit" aspectratio="f"/>
              </v:shape>
            </w:pict>
          </mc:Fallback>
        </mc:AlternateContent>
      </w:r>
    </w:p>
    <w:p>
      <w:pPr>
        <w:spacing w:line="560" w:lineRule="exact"/>
        <w:jc w:val="center"/>
        <w:rPr>
          <w:rFonts w:hint="default" w:ascii="Times New Roman" w:hAnsi="Times New Roman" w:eastAsia="方正小标宋_GBK" w:cs="Times New Roman"/>
          <w:b w:val="0"/>
          <w:bCs w:val="0"/>
          <w:color w:val="auto"/>
          <w:sz w:val="44"/>
          <w:szCs w:val="44"/>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方正小标宋_GBK" w:hAnsi="方正小标宋_GBK" w:eastAsia="方正小标宋_GBK" w:cs="方正小标宋_GBK"/>
          <w:b w:val="0"/>
          <w:bCs w:val="0"/>
          <w:color w:val="auto"/>
          <w:spacing w:val="20"/>
          <w:sz w:val="44"/>
          <w:szCs w:val="44"/>
          <w:lang w:val="en-US" w:eastAsia="zh-CN"/>
        </w:rPr>
      </w:pPr>
      <w:r>
        <w:rPr>
          <w:rFonts w:hint="eastAsia" w:ascii="方正小标宋_GBK" w:hAnsi="方正小标宋_GBK" w:eastAsia="方正小标宋_GBK" w:cs="方正小标宋_GBK"/>
          <w:b w:val="0"/>
          <w:bCs w:val="0"/>
          <w:color w:val="auto"/>
          <w:spacing w:val="20"/>
          <w:sz w:val="44"/>
          <w:szCs w:val="44"/>
          <w:lang w:val="en-US" w:eastAsia="zh-CN"/>
        </w:rPr>
        <w:t>重庆市巴南区生态环境局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方正小标宋_GBK" w:hAnsi="方正小标宋_GBK" w:eastAsia="方正小标宋_GBK" w:cs="方正小标宋_GBK"/>
          <w:b w:val="0"/>
          <w:bCs w:val="0"/>
          <w:color w:val="auto"/>
          <w:spacing w:val="20"/>
          <w:sz w:val="44"/>
          <w:szCs w:val="44"/>
          <w:lang w:val="en-US" w:eastAsia="zh-CN"/>
        </w:rPr>
      </w:pPr>
      <w:r>
        <w:rPr>
          <w:rFonts w:hint="eastAsia" w:ascii="方正小标宋_GBK" w:hAnsi="方正小标宋_GBK" w:eastAsia="方正小标宋_GBK" w:cs="方正小标宋_GBK"/>
          <w:b w:val="0"/>
          <w:bCs w:val="0"/>
          <w:color w:val="auto"/>
          <w:spacing w:val="20"/>
          <w:sz w:val="44"/>
          <w:szCs w:val="44"/>
          <w:lang w:val="en-US" w:eastAsia="zh-CN"/>
        </w:rPr>
        <w:t>关于印发《巴南区</w:t>
      </w:r>
      <w:r>
        <w:rPr>
          <w:rFonts w:hint="eastAsia" w:ascii="方正小标宋_GBK" w:hAnsi="方正小标宋_GBK" w:eastAsia="方正小标宋_GBK" w:cs="方正小标宋_GBK"/>
          <w:b w:val="0"/>
          <w:bCs w:val="0"/>
          <w:color w:val="auto"/>
          <w:spacing w:val="20"/>
          <w:sz w:val="44"/>
          <w:szCs w:val="44"/>
        </w:rPr>
        <w:t>一般工业固体废物</w:t>
      </w:r>
      <w:r>
        <w:rPr>
          <w:rFonts w:hint="eastAsia" w:ascii="方正小标宋_GBK" w:hAnsi="方正小标宋_GBK" w:eastAsia="方正小标宋_GBK" w:cs="方正小标宋_GBK"/>
          <w:b w:val="0"/>
          <w:bCs w:val="0"/>
          <w:color w:val="auto"/>
          <w:spacing w:val="20"/>
          <w:sz w:val="44"/>
          <w:szCs w:val="44"/>
          <w:lang w:val="en-US" w:eastAsia="zh-CN"/>
        </w:rPr>
        <w:t>规范化环境管理评估指南》的通知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方正小标宋_GBK" w:hAnsi="方正小标宋_GBK" w:eastAsia="方正小标宋_GBK" w:cs="方正小标宋_GBK"/>
          <w:b w:val="0"/>
          <w:bCs w:val="0"/>
          <w:color w:val="auto"/>
          <w:spacing w:val="20"/>
          <w:sz w:val="44"/>
          <w:szCs w:val="44"/>
          <w:lang w:val="en-US" w:eastAsia="zh-CN"/>
        </w:rPr>
      </w:pPr>
    </w:p>
    <w:p>
      <w:pPr>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各相关企业，有关单位:</w:t>
      </w:r>
    </w:p>
    <w:p>
      <w:pPr>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现将《巴南区一般工业固体废物规范化环境管理评估指南》印发给你们，请参照执行。</w:t>
      </w:r>
    </w:p>
    <w:p>
      <w:pPr>
        <w:pStyle w:val="2"/>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b w:val="0"/>
          <w:bCs w:val="0"/>
          <w:color w:val="auto"/>
        </w:rPr>
      </w:pPr>
    </w:p>
    <w:p>
      <w:pPr>
        <w:rPr>
          <w:rFonts w:hint="default"/>
          <w:b w:val="0"/>
          <w:bCs w:val="0"/>
          <w:color w:val="auto"/>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4160" w:firstLineChars="1300"/>
        <w:textAlignment w:val="auto"/>
        <w:rPr>
          <w:rFonts w:hint="default" w:ascii="Times New Roman" w:hAnsi="Times New Roman" w:eastAsia="方正仿宋_GBK" w:cs="Times New Roman"/>
          <w:b w:val="0"/>
          <w:bCs w:val="0"/>
          <w:color w:val="auto"/>
          <w:sz w:val="32"/>
          <w:szCs w:val="32"/>
          <w:lang w:val="en-US" w:eastAsia="zh-CN"/>
        </w:rPr>
      </w:pPr>
      <w:r>
        <w:rPr>
          <w:rFonts w:hint="default" w:ascii="Times New Roman" w:hAnsi="Times New Roman" w:eastAsia="方正仿宋_GBK" w:cs="Times New Roman"/>
          <w:b w:val="0"/>
          <w:bCs w:val="0"/>
          <w:color w:val="auto"/>
          <w:sz w:val="32"/>
          <w:szCs w:val="32"/>
          <w:lang w:eastAsia="zh-CN"/>
        </w:rPr>
        <w:t>重庆市巴南区生态环境局</w:t>
      </w:r>
      <w:r>
        <w:rPr>
          <w:rFonts w:hint="default" w:ascii="Times New Roman" w:hAnsi="Times New Roman" w:eastAsia="方正仿宋_GBK" w:cs="Times New Roman"/>
          <w:b w:val="0"/>
          <w:bCs w:val="0"/>
          <w:color w:val="auto"/>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 xml:space="preserve">                                    </w:t>
      </w:r>
      <w:r>
        <w:rPr>
          <w:rFonts w:hint="default" w:ascii="Times New Roman" w:hAnsi="Times New Roman" w:eastAsia="方正仿宋_GBK" w:cs="Times New Roman"/>
          <w:b w:val="0"/>
          <w:bCs w:val="0"/>
          <w:color w:val="auto"/>
          <w:sz w:val="32"/>
          <w:szCs w:val="32"/>
          <w:lang w:val="en-US" w:eastAsia="zh-CN"/>
        </w:rPr>
        <w:t>202</w:t>
      </w:r>
      <w:r>
        <w:rPr>
          <w:rFonts w:hint="eastAsia" w:ascii="Times New Roman" w:hAnsi="Times New Roman" w:eastAsia="方正仿宋_GBK" w:cs="Times New Roman"/>
          <w:b w:val="0"/>
          <w:bCs w:val="0"/>
          <w:color w:val="auto"/>
          <w:sz w:val="32"/>
          <w:szCs w:val="32"/>
          <w:lang w:val="en-US" w:eastAsia="zh-CN"/>
        </w:rPr>
        <w:t>5</w:t>
      </w:r>
      <w:r>
        <w:rPr>
          <w:rFonts w:hint="default" w:ascii="Times New Roman" w:hAnsi="Times New Roman" w:eastAsia="方正仿宋_GBK" w:cs="Times New Roman"/>
          <w:b w:val="0"/>
          <w:bCs w:val="0"/>
          <w:color w:val="auto"/>
          <w:sz w:val="32"/>
          <w:szCs w:val="32"/>
          <w:lang w:val="en-US" w:eastAsia="zh-CN"/>
        </w:rPr>
        <w:t>年</w:t>
      </w:r>
      <w:r>
        <w:rPr>
          <w:rFonts w:hint="eastAsia" w:ascii="Times New Roman" w:hAnsi="Times New Roman" w:eastAsia="方正仿宋_GBK" w:cs="Times New Roman"/>
          <w:b w:val="0"/>
          <w:bCs w:val="0"/>
          <w:color w:val="auto"/>
          <w:sz w:val="32"/>
          <w:szCs w:val="32"/>
          <w:lang w:val="en-US" w:eastAsia="zh-CN"/>
        </w:rPr>
        <w:t>3</w:t>
      </w:r>
      <w:r>
        <w:rPr>
          <w:rFonts w:hint="default" w:ascii="Times New Roman" w:hAnsi="Times New Roman" w:eastAsia="方正仿宋_GBK" w:cs="Times New Roman"/>
          <w:b w:val="0"/>
          <w:bCs w:val="0"/>
          <w:color w:val="auto"/>
          <w:sz w:val="32"/>
          <w:szCs w:val="32"/>
          <w:lang w:val="en-US" w:eastAsia="zh-CN"/>
        </w:rPr>
        <w:t>月</w:t>
      </w:r>
      <w:r>
        <w:rPr>
          <w:rFonts w:hint="eastAsia" w:ascii="Times New Roman" w:hAnsi="Times New Roman" w:eastAsia="方正仿宋_GBK" w:cs="Times New Roman"/>
          <w:b w:val="0"/>
          <w:bCs w:val="0"/>
          <w:color w:val="auto"/>
          <w:sz w:val="32"/>
          <w:szCs w:val="32"/>
          <w:lang w:val="en-US" w:eastAsia="zh-CN"/>
        </w:rPr>
        <w:t>25</w:t>
      </w:r>
      <w:r>
        <w:rPr>
          <w:rFonts w:hint="default" w:ascii="Times New Roman" w:hAnsi="Times New Roman" w:eastAsia="方正仿宋_GBK" w:cs="Times New Roman"/>
          <w:b w:val="0"/>
          <w:bCs w:val="0"/>
          <w:color w:val="auto"/>
          <w:sz w:val="32"/>
          <w:szCs w:val="32"/>
          <w:lang w:val="en-US" w:eastAsia="zh-CN"/>
        </w:rPr>
        <w:t xml:space="preserve">日      </w:t>
      </w:r>
    </w:p>
    <w:p>
      <w:pPr>
        <w:pStyle w:val="2"/>
        <w:ind w:firstLine="640" w:firstLineChars="200"/>
        <w:rPr>
          <w:rFonts w:hint="default" w:ascii="Times New Roman" w:hAnsi="Times New Roman" w:eastAsia="方正仿宋_GBK" w:cs="Times New Roman"/>
          <w:b w:val="0"/>
          <w:bCs w:val="0"/>
          <w:color w:val="auto"/>
          <w:kern w:val="2"/>
          <w:sz w:val="32"/>
          <w:szCs w:val="32"/>
          <w:lang w:val="en-US" w:eastAsia="zh-CN" w:bidi="ar-SA"/>
          <w14:ligatures w14:val="standardContextual"/>
        </w:rPr>
      </w:pPr>
      <w:r>
        <w:rPr>
          <w:rFonts w:hint="eastAsia" w:ascii="Times New Roman" w:hAnsi="Times New Roman" w:eastAsia="方正仿宋_GBK" w:cs="Times New Roman"/>
          <w:b w:val="0"/>
          <w:bCs w:val="0"/>
          <w:color w:val="auto"/>
          <w:kern w:val="2"/>
          <w:sz w:val="32"/>
          <w:szCs w:val="32"/>
          <w:lang w:val="en-US" w:eastAsia="zh-CN" w:bidi="ar-SA"/>
          <w14:ligatures w14:val="standardContextual"/>
        </w:rPr>
        <w:t>（此件公开发布）</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方正仿宋_GBK" w:cs="Times New Roman"/>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color w:val="auto"/>
          <w:spacing w:val="20"/>
          <w:sz w:val="44"/>
          <w:szCs w:val="44"/>
          <w:highlight w:val="none"/>
          <w:lang w:val="en-US" w:eastAsia="zh-CN"/>
        </w:rPr>
      </w:pPr>
      <w:r>
        <w:rPr>
          <w:rFonts w:hint="eastAsia" w:ascii="方正小标宋_GBK" w:hAnsi="方正小标宋_GBK" w:eastAsia="方正小标宋_GBK" w:cs="方正小标宋_GBK"/>
          <w:b w:val="0"/>
          <w:bCs w:val="0"/>
          <w:color w:val="auto"/>
          <w:spacing w:val="20"/>
          <w:sz w:val="44"/>
          <w:szCs w:val="44"/>
          <w:highlight w:val="none"/>
          <w:lang w:val="en-US" w:eastAsia="zh-CN"/>
        </w:rPr>
        <w:t>巴南区</w:t>
      </w:r>
      <w:r>
        <w:rPr>
          <w:rFonts w:hint="eastAsia" w:ascii="方正小标宋_GBK" w:hAnsi="方正小标宋_GBK" w:eastAsia="方正小标宋_GBK" w:cs="方正小标宋_GBK"/>
          <w:b w:val="0"/>
          <w:bCs w:val="0"/>
          <w:color w:val="auto"/>
          <w:spacing w:val="20"/>
          <w:sz w:val="44"/>
          <w:szCs w:val="44"/>
          <w:highlight w:val="none"/>
        </w:rPr>
        <w:t>一般工业固体废物</w:t>
      </w:r>
      <w:r>
        <w:rPr>
          <w:rFonts w:hint="eastAsia" w:ascii="方正小标宋_GBK" w:hAnsi="方正小标宋_GBK" w:eastAsia="方正小标宋_GBK" w:cs="方正小标宋_GBK"/>
          <w:b w:val="0"/>
          <w:bCs w:val="0"/>
          <w:color w:val="auto"/>
          <w:spacing w:val="20"/>
          <w:sz w:val="44"/>
          <w:szCs w:val="44"/>
          <w:highlight w:val="none"/>
          <w:lang w:val="en-US" w:eastAsia="zh-CN"/>
        </w:rPr>
        <w:t>规范化环境管理</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color w:val="auto"/>
          <w:sz w:val="44"/>
          <w:szCs w:val="44"/>
          <w:highlight w:val="none"/>
          <w:lang w:val="en-US" w:eastAsia="zh-CN"/>
        </w:rPr>
      </w:pPr>
      <w:r>
        <w:rPr>
          <w:rFonts w:hint="eastAsia" w:ascii="方正小标宋_GBK" w:hAnsi="方正小标宋_GBK" w:eastAsia="方正小标宋_GBK" w:cs="方正小标宋_GBK"/>
          <w:b w:val="0"/>
          <w:bCs w:val="0"/>
          <w:color w:val="auto"/>
          <w:spacing w:val="20"/>
          <w:sz w:val="44"/>
          <w:szCs w:val="44"/>
          <w:highlight w:val="none"/>
          <w:lang w:val="en-US" w:eastAsia="zh-CN"/>
        </w:rPr>
        <w:t>评估指南</w:t>
      </w:r>
    </w:p>
    <w:p>
      <w:pPr>
        <w:pStyle w:val="8"/>
        <w:keepNext w:val="0"/>
        <w:keepLines w:val="0"/>
        <w:pageBreakBefore w:val="0"/>
        <w:widowControl/>
        <w:suppressLineNumbers w:val="0"/>
        <w:pBdr>
          <w:top w:val="none" w:color="auto" w:sz="0" w:space="0"/>
          <w:left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60" w:lineRule="exact"/>
        <w:ind w:left="0" w:right="0" w:firstLineChars="200"/>
        <w:jc w:val="both"/>
        <w:textAlignment w:val="auto"/>
        <w:rPr>
          <w:rFonts w:hint="eastAsia" w:ascii="方正仿宋_GBK" w:hAnsi="方正仿宋_GBK" w:eastAsia="方正仿宋_GBK" w:cs="方正仿宋_GBK"/>
          <w:b w:val="0"/>
          <w:bCs w:val="0"/>
          <w:color w:val="auto"/>
          <w:sz w:val="32"/>
          <w:szCs w:val="32"/>
          <w:highlight w:val="none"/>
        </w:rPr>
      </w:pPr>
    </w:p>
    <w:p>
      <w:pPr>
        <w:pStyle w:val="8"/>
        <w:keepNext w:val="0"/>
        <w:keepLines w:val="0"/>
        <w:pageBreakBefore w:val="0"/>
        <w:widowControl/>
        <w:suppressLineNumbers w:val="0"/>
        <w:pBdr>
          <w:top w:val="none" w:color="auto" w:sz="0" w:space="0"/>
          <w:left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60" w:lineRule="exact"/>
        <w:ind w:left="0" w:right="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rPr>
        <w:t>为贯彻</w:t>
      </w:r>
      <w:r>
        <w:rPr>
          <w:rFonts w:hint="eastAsia" w:ascii="方正仿宋_GBK" w:hAnsi="方正仿宋_GBK" w:eastAsia="方正仿宋_GBK" w:cs="方正仿宋_GBK"/>
          <w:b w:val="0"/>
          <w:bCs w:val="0"/>
          <w:color w:val="auto"/>
          <w:sz w:val="32"/>
          <w:szCs w:val="32"/>
          <w:highlight w:val="none"/>
          <w:lang w:val="en-US" w:eastAsia="zh-CN"/>
        </w:rPr>
        <w:t>落实《中华人民共和国固体废物污染环境防治法》（中华人民共和国主席令 第四十三号），进一步规范全区一般工业固体废物产生单位的环境管理工作，切实提高管理水平，强化监管能力，结合国家对一般工业固体废物规范化环境管理的工作部署，制定本指南。</w:t>
      </w:r>
    </w:p>
    <w:p>
      <w:pPr>
        <w:keepNext w:val="0"/>
        <w:keepLines w:val="0"/>
        <w:pageBreakBefore w:val="0"/>
        <w:wordWrap/>
        <w:overflowPunct/>
        <w:topLinePunct w:val="0"/>
        <w:bidi w:val="0"/>
        <w:spacing w:line="560" w:lineRule="exact"/>
        <w:ind w:firstLine="640" w:firstLineChars="200"/>
        <w:outlineLvl w:val="0"/>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一、适用范围</w:t>
      </w:r>
    </w:p>
    <w:p>
      <w:pPr>
        <w:pStyle w:val="8"/>
        <w:keepNext w:val="0"/>
        <w:keepLines w:val="0"/>
        <w:pageBreakBefore w:val="0"/>
        <w:widowControl/>
        <w:suppressLineNumbers w:val="0"/>
        <w:pBdr>
          <w:top w:val="none" w:color="auto" w:sz="0" w:space="0"/>
          <w:left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60" w:lineRule="exact"/>
        <w:ind w:left="0" w:right="0" w:firstLineChars="200"/>
        <w:jc w:val="both"/>
        <w:textAlignment w:val="auto"/>
        <w:rPr>
          <w:rFonts w:hint="default" w:ascii="方正仿宋_GBK" w:hAnsi="方正仿宋_GBK" w:eastAsia="方正仿宋_GBK" w:cs="方正仿宋_GBK"/>
          <w:b w:val="0"/>
          <w:bCs w:val="0"/>
          <w:color w:val="auto"/>
          <w:sz w:val="32"/>
          <w:szCs w:val="32"/>
          <w:highlight w:val="none"/>
          <w:lang w:val="en-US" w:eastAsia="zh-CN"/>
        </w:rPr>
      </w:pPr>
      <w:r>
        <w:rPr>
          <w:rFonts w:hint="default" w:ascii="方正仿宋_GBK" w:hAnsi="方正仿宋_GBK" w:eastAsia="方正仿宋_GBK" w:cs="方正仿宋_GBK"/>
          <w:b w:val="0"/>
          <w:bCs w:val="0"/>
          <w:color w:val="auto"/>
          <w:sz w:val="32"/>
          <w:szCs w:val="32"/>
          <w:highlight w:val="none"/>
        </w:rPr>
        <w:t>本指南适用于</w:t>
      </w:r>
      <w:r>
        <w:rPr>
          <w:rFonts w:hint="default" w:ascii="方正仿宋_GBK" w:hAnsi="方正仿宋_GBK" w:eastAsia="方正仿宋_GBK" w:cs="方正仿宋_GBK"/>
          <w:b w:val="0"/>
          <w:bCs w:val="0"/>
          <w:color w:val="auto"/>
          <w:sz w:val="32"/>
          <w:szCs w:val="32"/>
          <w:highlight w:val="none"/>
          <w:lang w:val="en-US" w:eastAsia="zh-CN"/>
        </w:rPr>
        <w:t>巴南区产生一般工业固体废物的规模以上</w:t>
      </w:r>
      <w:r>
        <w:rPr>
          <w:rFonts w:hint="default" w:ascii="方正仿宋_GBK" w:hAnsi="方正仿宋_GBK" w:eastAsia="方正仿宋_GBK" w:cs="方正仿宋_GBK"/>
          <w:b w:val="0"/>
          <w:bCs w:val="0"/>
          <w:color w:val="auto"/>
          <w:sz w:val="32"/>
          <w:szCs w:val="32"/>
          <w:highlight w:val="none"/>
          <w:lang w:val="en-US" w:eastAsia="zh-CN"/>
        </w:rPr>
        <w:footnoteReference w:id="0"/>
      </w:r>
      <w:r>
        <w:rPr>
          <w:rFonts w:hint="default" w:ascii="方正仿宋_GBK" w:hAnsi="方正仿宋_GBK" w:eastAsia="方正仿宋_GBK" w:cs="方正仿宋_GBK"/>
          <w:b w:val="0"/>
          <w:bCs w:val="0"/>
          <w:color w:val="auto"/>
          <w:sz w:val="32"/>
          <w:szCs w:val="32"/>
          <w:highlight w:val="none"/>
          <w:lang w:val="en-US" w:eastAsia="zh-CN"/>
        </w:rPr>
        <w:t>、年产生量100吨及以上（近三年内）的工业企业。其他企业可参照执行。</w:t>
      </w:r>
    </w:p>
    <w:p>
      <w:pPr>
        <w:keepNext w:val="0"/>
        <w:keepLines w:val="0"/>
        <w:pageBreakBefore w:val="0"/>
        <w:wordWrap/>
        <w:overflowPunct/>
        <w:topLinePunct w:val="0"/>
        <w:bidi w:val="0"/>
        <w:spacing w:line="560" w:lineRule="exact"/>
        <w:ind w:firstLine="640" w:firstLineChars="200"/>
        <w:outlineLvl w:val="0"/>
        <w:rPr>
          <w:rFonts w:hint="default"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二、相关依据</w:t>
      </w:r>
    </w:p>
    <w:p>
      <w:pPr>
        <w:keepNext w:val="0"/>
        <w:keepLines w:val="0"/>
        <w:pageBreakBefore w:val="0"/>
        <w:numPr>
          <w:ilvl w:val="0"/>
          <w:numId w:val="1"/>
        </w:numPr>
        <w:wordWrap/>
        <w:overflowPunct/>
        <w:topLinePunct w:val="0"/>
        <w:bidi w:val="0"/>
        <w:spacing w:line="560" w:lineRule="exact"/>
        <w:ind w:left="0" w:leftChars="0" w:firstLine="640" w:firstLineChars="200"/>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《中华人民共和国固体废物污染环境防治法》（中华人民共和国主席令第四十三号）。</w:t>
      </w:r>
    </w:p>
    <w:p>
      <w:pPr>
        <w:keepNext w:val="0"/>
        <w:keepLines w:val="0"/>
        <w:pageBreakBefore w:val="0"/>
        <w:numPr>
          <w:ilvl w:val="0"/>
          <w:numId w:val="1"/>
        </w:numPr>
        <w:wordWrap/>
        <w:overflowPunct/>
        <w:topLinePunct w:val="0"/>
        <w:bidi w:val="0"/>
        <w:spacing w:line="560" w:lineRule="exact"/>
        <w:ind w:left="0" w:leftChars="0" w:firstLine="640" w:firstLineChars="200"/>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《中华人民共和国清洁生产促进法》（中华人民共和国主席令第72号）。</w:t>
      </w:r>
    </w:p>
    <w:p>
      <w:pPr>
        <w:keepNext w:val="0"/>
        <w:keepLines w:val="0"/>
        <w:pageBreakBefore w:val="0"/>
        <w:numPr>
          <w:ilvl w:val="0"/>
          <w:numId w:val="1"/>
        </w:numPr>
        <w:wordWrap/>
        <w:overflowPunct/>
        <w:topLinePunct w:val="0"/>
        <w:bidi w:val="0"/>
        <w:spacing w:line="560" w:lineRule="exact"/>
        <w:ind w:left="0" w:leftChars="0" w:firstLine="640" w:firstLineChars="200"/>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《排污许可管理条例》（国务院令第736号）</w:t>
      </w:r>
      <w:r>
        <w:rPr>
          <w:rFonts w:hint="eastAsia" w:ascii="方正仿宋_GBK" w:hAnsi="方正仿宋_GBK" w:eastAsia="方正仿宋_GBK" w:cs="方正仿宋_GBK"/>
          <w:b w:val="0"/>
          <w:bCs w:val="0"/>
          <w:color w:val="auto"/>
          <w:sz w:val="32"/>
          <w:szCs w:val="32"/>
          <w:highlight w:val="none"/>
          <w:lang w:val="en-US" w:eastAsia="zh-CN"/>
        </w:rPr>
        <w:t>。</w:t>
      </w:r>
    </w:p>
    <w:p>
      <w:pPr>
        <w:keepNext w:val="0"/>
        <w:keepLines w:val="0"/>
        <w:pageBreakBefore w:val="0"/>
        <w:numPr>
          <w:ilvl w:val="0"/>
          <w:numId w:val="1"/>
        </w:numPr>
        <w:wordWrap/>
        <w:overflowPunct/>
        <w:topLinePunct w:val="0"/>
        <w:bidi w:val="0"/>
        <w:spacing w:line="560" w:lineRule="exact"/>
        <w:ind w:left="0" w:leftChars="0" w:firstLine="640" w:firstLineChars="200"/>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《排污许可管理办法》（生态环境部令第32号）</w:t>
      </w:r>
      <w:r>
        <w:rPr>
          <w:rFonts w:hint="eastAsia" w:ascii="方正仿宋_GBK" w:hAnsi="方正仿宋_GBK" w:eastAsia="方正仿宋_GBK" w:cs="方正仿宋_GBK"/>
          <w:b w:val="0"/>
          <w:bCs w:val="0"/>
          <w:color w:val="auto"/>
          <w:sz w:val="32"/>
          <w:szCs w:val="32"/>
          <w:highlight w:val="none"/>
          <w:lang w:val="en-US" w:eastAsia="zh-CN"/>
        </w:rPr>
        <w:t>。</w:t>
      </w:r>
    </w:p>
    <w:p>
      <w:pPr>
        <w:keepNext w:val="0"/>
        <w:keepLines w:val="0"/>
        <w:pageBreakBefore w:val="0"/>
        <w:numPr>
          <w:ilvl w:val="0"/>
          <w:numId w:val="1"/>
        </w:numPr>
        <w:wordWrap/>
        <w:overflowPunct/>
        <w:topLinePunct w:val="0"/>
        <w:bidi w:val="0"/>
        <w:spacing w:line="560" w:lineRule="exact"/>
        <w:ind w:left="0" w:leftChars="0" w:firstLine="640" w:firstLineChars="200"/>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《尾矿污染环境防治管理办法》（生态环境部令第26号）</w:t>
      </w:r>
      <w:r>
        <w:rPr>
          <w:rFonts w:hint="eastAsia" w:ascii="方正仿宋_GBK" w:hAnsi="方正仿宋_GBK" w:eastAsia="方正仿宋_GBK" w:cs="方正仿宋_GBK"/>
          <w:b w:val="0"/>
          <w:bCs w:val="0"/>
          <w:color w:val="auto"/>
          <w:sz w:val="32"/>
          <w:szCs w:val="32"/>
          <w:highlight w:val="none"/>
          <w:lang w:val="en-US" w:eastAsia="zh-CN"/>
        </w:rPr>
        <w:t>。</w:t>
      </w:r>
    </w:p>
    <w:p>
      <w:pPr>
        <w:keepNext w:val="0"/>
        <w:keepLines w:val="0"/>
        <w:pageBreakBefore w:val="0"/>
        <w:numPr>
          <w:ilvl w:val="0"/>
          <w:numId w:val="1"/>
        </w:numPr>
        <w:wordWrap/>
        <w:overflowPunct/>
        <w:topLinePunct w:val="0"/>
        <w:bidi w:val="0"/>
        <w:spacing w:line="560" w:lineRule="exact"/>
        <w:ind w:left="0" w:leftChars="0" w:firstLine="640" w:firstLineChars="200"/>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《企业环境信息依法披露管理办法》（生态环境部令第24号）</w:t>
      </w:r>
      <w:r>
        <w:rPr>
          <w:rFonts w:hint="eastAsia" w:ascii="方正仿宋_GBK" w:hAnsi="方正仿宋_GBK" w:eastAsia="方正仿宋_GBK" w:cs="方正仿宋_GBK"/>
          <w:b w:val="0"/>
          <w:bCs w:val="0"/>
          <w:color w:val="auto"/>
          <w:sz w:val="32"/>
          <w:szCs w:val="32"/>
          <w:highlight w:val="none"/>
          <w:lang w:val="en-US" w:eastAsia="zh-CN"/>
        </w:rPr>
        <w:t>。</w:t>
      </w:r>
    </w:p>
    <w:p>
      <w:pPr>
        <w:keepNext w:val="0"/>
        <w:keepLines w:val="0"/>
        <w:pageBreakBefore w:val="0"/>
        <w:numPr>
          <w:ilvl w:val="0"/>
          <w:numId w:val="1"/>
        </w:numPr>
        <w:wordWrap/>
        <w:overflowPunct/>
        <w:topLinePunct w:val="0"/>
        <w:bidi w:val="0"/>
        <w:spacing w:line="560" w:lineRule="exact"/>
        <w:ind w:left="0" w:leftChars="0" w:firstLine="640" w:firstLineChars="200"/>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《一般工业固体废物管理台账制定指南（试行）》（生态环境部公告2021年第82号）。</w:t>
      </w:r>
    </w:p>
    <w:p>
      <w:pPr>
        <w:keepNext w:val="0"/>
        <w:keepLines w:val="0"/>
        <w:pageBreakBefore w:val="0"/>
        <w:numPr>
          <w:ilvl w:val="0"/>
          <w:numId w:val="1"/>
        </w:numPr>
        <w:wordWrap/>
        <w:overflowPunct/>
        <w:topLinePunct w:val="0"/>
        <w:bidi w:val="0"/>
        <w:spacing w:line="560" w:lineRule="exact"/>
        <w:ind w:left="0" w:leftChars="0" w:firstLine="640" w:firstLineChars="200"/>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《固体废物分类与代码目录》（生态环境部公告2024年第4号）。</w:t>
      </w:r>
    </w:p>
    <w:p>
      <w:pPr>
        <w:keepNext w:val="0"/>
        <w:keepLines w:val="0"/>
        <w:pageBreakBefore w:val="0"/>
        <w:numPr>
          <w:ilvl w:val="0"/>
          <w:numId w:val="1"/>
        </w:numPr>
        <w:wordWrap/>
        <w:overflowPunct/>
        <w:topLinePunct w:val="0"/>
        <w:bidi w:val="0"/>
        <w:spacing w:line="560" w:lineRule="exact"/>
        <w:ind w:left="0" w:leftChars="0" w:firstLine="640" w:firstLineChars="200"/>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《尾矿库污染隐患排查治理工作指南（试行）》（生态环境部公告2022年第10号</w:t>
      </w:r>
      <w:r>
        <w:rPr>
          <w:rFonts w:hint="eastAsia" w:ascii="方正仿宋_GBK" w:hAnsi="方正仿宋_GBK" w:eastAsia="方正仿宋_GBK" w:cs="方正仿宋_GBK"/>
          <w:b w:val="0"/>
          <w:bCs w:val="0"/>
          <w:color w:val="auto"/>
          <w:sz w:val="32"/>
          <w:szCs w:val="32"/>
          <w:highlight w:val="none"/>
          <w:lang w:val="en-US" w:eastAsia="zh-CN"/>
        </w:rPr>
        <w:t>）。</w:t>
      </w:r>
    </w:p>
    <w:p>
      <w:pPr>
        <w:keepNext w:val="0"/>
        <w:keepLines w:val="0"/>
        <w:pageBreakBefore w:val="0"/>
        <w:numPr>
          <w:ilvl w:val="0"/>
          <w:numId w:val="1"/>
        </w:numPr>
        <w:wordWrap/>
        <w:overflowPunct/>
        <w:topLinePunct w:val="0"/>
        <w:bidi w:val="0"/>
        <w:spacing w:line="560" w:lineRule="exact"/>
        <w:ind w:left="0" w:leftChars="0" w:firstLine="640" w:firstLineChars="200"/>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《清洁生产审核办法》（</w:t>
      </w:r>
      <w:r>
        <w:rPr>
          <w:rFonts w:hint="eastAsia" w:ascii="方正仿宋_GBK" w:hAnsi="方正仿宋_GBK" w:eastAsia="方正仿宋_GBK" w:cs="方正仿宋_GBK"/>
          <w:b w:val="0"/>
          <w:bCs w:val="0"/>
          <w:color w:val="auto"/>
          <w:sz w:val="32"/>
          <w:szCs w:val="32"/>
          <w:highlight w:val="none"/>
          <w:lang w:val="en-US" w:eastAsia="en-US"/>
        </w:rPr>
        <w:t>国家发展改革委</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环境保护部令第38号</w:t>
      </w:r>
      <w:r>
        <w:rPr>
          <w:rFonts w:hint="eastAsia" w:ascii="方正仿宋_GBK" w:hAnsi="方正仿宋_GBK" w:eastAsia="方正仿宋_GBK" w:cs="方正仿宋_GBK"/>
          <w:b w:val="0"/>
          <w:bCs w:val="0"/>
          <w:color w:val="auto"/>
          <w:sz w:val="32"/>
          <w:szCs w:val="32"/>
          <w:highlight w:val="none"/>
          <w:lang w:val="en-US" w:eastAsia="zh-CN"/>
        </w:rPr>
        <w:t>）。</w:t>
      </w:r>
    </w:p>
    <w:p>
      <w:pPr>
        <w:keepNext w:val="0"/>
        <w:keepLines w:val="0"/>
        <w:pageBreakBefore w:val="0"/>
        <w:numPr>
          <w:ilvl w:val="0"/>
          <w:numId w:val="1"/>
        </w:numPr>
        <w:wordWrap/>
        <w:overflowPunct/>
        <w:topLinePunct w:val="0"/>
        <w:bidi w:val="0"/>
        <w:spacing w:line="560" w:lineRule="exact"/>
        <w:ind w:left="0" w:leftChars="0" w:firstLine="640" w:firstLineChars="200"/>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《关于开展工业固体废物排污许可管理工作的通知》（环办环评〔2021〕26号）</w:t>
      </w:r>
      <w:r>
        <w:rPr>
          <w:rFonts w:hint="eastAsia" w:ascii="方正仿宋_GBK" w:hAnsi="方正仿宋_GBK" w:eastAsia="方正仿宋_GBK" w:cs="方正仿宋_GBK"/>
          <w:b w:val="0"/>
          <w:bCs w:val="0"/>
          <w:color w:val="auto"/>
          <w:sz w:val="32"/>
          <w:szCs w:val="32"/>
          <w:highlight w:val="none"/>
          <w:lang w:val="en-US" w:eastAsia="zh-CN"/>
        </w:rPr>
        <w:t>。</w:t>
      </w:r>
    </w:p>
    <w:p>
      <w:pPr>
        <w:keepNext w:val="0"/>
        <w:keepLines w:val="0"/>
        <w:pageBreakBefore w:val="0"/>
        <w:numPr>
          <w:ilvl w:val="0"/>
          <w:numId w:val="1"/>
        </w:numPr>
        <w:wordWrap/>
        <w:overflowPunct/>
        <w:topLinePunct w:val="0"/>
        <w:bidi w:val="0"/>
        <w:spacing w:line="560" w:lineRule="exact"/>
        <w:ind w:left="0" w:leftChars="0" w:firstLine="640" w:firstLineChars="200"/>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《企业环境信息依法披露格式准则》（环办综合〔2021〕32号）</w:t>
      </w:r>
      <w:r>
        <w:rPr>
          <w:rFonts w:hint="eastAsia" w:ascii="方正仿宋_GBK" w:hAnsi="方正仿宋_GBK" w:eastAsia="方正仿宋_GBK" w:cs="方正仿宋_GBK"/>
          <w:b w:val="0"/>
          <w:bCs w:val="0"/>
          <w:color w:val="auto"/>
          <w:sz w:val="32"/>
          <w:szCs w:val="32"/>
          <w:highlight w:val="none"/>
          <w:lang w:val="en-US" w:eastAsia="zh-CN"/>
        </w:rPr>
        <w:t>。</w:t>
      </w:r>
    </w:p>
    <w:p>
      <w:pPr>
        <w:keepNext w:val="0"/>
        <w:keepLines w:val="0"/>
        <w:pageBreakBefore w:val="0"/>
        <w:numPr>
          <w:ilvl w:val="0"/>
          <w:numId w:val="1"/>
        </w:numPr>
        <w:wordWrap/>
        <w:overflowPunct/>
        <w:topLinePunct w:val="0"/>
        <w:bidi w:val="0"/>
        <w:spacing w:line="560" w:lineRule="exact"/>
        <w:ind w:left="0" w:leftChars="0" w:firstLine="640" w:firstLineChars="200"/>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《一般工业固体废物贮存和填埋污染控制标准》（GB 18599）。</w:t>
      </w:r>
    </w:p>
    <w:p>
      <w:pPr>
        <w:pStyle w:val="12"/>
        <w:keepNext w:val="0"/>
        <w:keepLines w:val="0"/>
        <w:pageBreakBefore w:val="0"/>
        <w:widowControl/>
        <w:numPr>
          <w:ilvl w:val="0"/>
          <w:numId w:val="1"/>
        </w:numPr>
        <w:pBdr>
          <w:top w:val="none" w:color="auto" w:sz="0" w:space="0"/>
          <w:left w:val="none" w:color="auto" w:sz="0" w:space="0"/>
          <w:bottom w:val="none" w:color="auto" w:sz="0" w:space="0"/>
          <w:right w:val="none" w:color="auto" w:sz="0" w:space="0"/>
        </w:pBdr>
        <w:shd w:val="clear"/>
        <w:wordWrap/>
        <w:overflowPunct/>
        <w:topLinePunct w:val="0"/>
        <w:bidi w:val="0"/>
        <w:spacing w:before="0" w:beforeAutospacing="0" w:after="0" w:afterAutospacing="0" w:line="560" w:lineRule="exact"/>
        <w:ind w:left="0" w:leftChars="0" w:firstLine="640" w:firstLineChars="200"/>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《固体废物鉴别标准 通则》</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GB</w:t>
      </w:r>
      <w:r>
        <w:rPr>
          <w:rFonts w:hint="eastAsia" w:ascii="方正仿宋_GBK" w:hAnsi="方正仿宋_GBK" w:eastAsia="方正仿宋_GBK" w:cs="方正仿宋_GBK"/>
          <w:b w:val="0"/>
          <w:bCs w:val="0"/>
          <w:color w:val="auto"/>
          <w:sz w:val="32"/>
          <w:szCs w:val="32"/>
          <w:highlight w:val="none"/>
          <w:lang w:val="en-US" w:eastAsia="zh-CN"/>
        </w:rPr>
        <w:t xml:space="preserve"> 34330）。</w:t>
      </w:r>
    </w:p>
    <w:p>
      <w:pPr>
        <w:keepNext w:val="0"/>
        <w:keepLines w:val="0"/>
        <w:pageBreakBefore w:val="0"/>
        <w:numPr>
          <w:ilvl w:val="0"/>
          <w:numId w:val="1"/>
        </w:numPr>
        <w:wordWrap/>
        <w:overflowPunct/>
        <w:topLinePunct w:val="0"/>
        <w:bidi w:val="0"/>
        <w:spacing w:line="560" w:lineRule="exact"/>
        <w:ind w:left="0" w:leftChars="0" w:firstLine="640" w:firstLineChars="200"/>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《环境保护图形标志 固体废物贮存（处置）场》（</w:t>
      </w:r>
      <w:r>
        <w:rPr>
          <w:rFonts w:hint="eastAsia" w:ascii="方正仿宋_GBK" w:hAnsi="方正仿宋_GBK" w:eastAsia="方正仿宋_GBK" w:cs="方正仿宋_GBK"/>
          <w:b w:val="0"/>
          <w:bCs w:val="0"/>
          <w:color w:val="auto"/>
          <w:sz w:val="32"/>
          <w:szCs w:val="32"/>
          <w:highlight w:val="none"/>
          <w:lang w:val="en-US" w:eastAsia="en-US"/>
        </w:rPr>
        <w:t>GB</w:t>
      </w:r>
      <w:r>
        <w:rPr>
          <w:rFonts w:hint="eastAsia" w:ascii="方正仿宋_GBK" w:hAnsi="方正仿宋_GBK" w:eastAsia="方正仿宋_GBK" w:cs="方正仿宋_GBK"/>
          <w:b w:val="0"/>
          <w:bCs w:val="0"/>
          <w:color w:val="auto"/>
          <w:sz w:val="32"/>
          <w:szCs w:val="32"/>
          <w:highlight w:val="none"/>
          <w:lang w:val="en-US" w:eastAsia="zh-CN"/>
        </w:rPr>
        <w:t xml:space="preserve"> </w:t>
      </w:r>
      <w:r>
        <w:rPr>
          <w:rFonts w:hint="eastAsia" w:ascii="方正仿宋_GBK" w:hAnsi="方正仿宋_GBK" w:eastAsia="方正仿宋_GBK" w:cs="方正仿宋_GBK"/>
          <w:b w:val="0"/>
          <w:bCs w:val="0"/>
          <w:color w:val="auto"/>
          <w:sz w:val="32"/>
          <w:szCs w:val="32"/>
          <w:highlight w:val="none"/>
          <w:lang w:val="en-US" w:eastAsia="en-US"/>
        </w:rPr>
        <w:t>15562.2</w:t>
      </w:r>
      <w:r>
        <w:rPr>
          <w:rFonts w:hint="eastAsia" w:ascii="方正仿宋_GBK" w:hAnsi="方正仿宋_GBK" w:eastAsia="方正仿宋_GBK" w:cs="方正仿宋_GBK"/>
          <w:b w:val="0"/>
          <w:bCs w:val="0"/>
          <w:color w:val="auto"/>
          <w:sz w:val="32"/>
          <w:szCs w:val="32"/>
          <w:highlight w:val="none"/>
          <w:lang w:val="en-US" w:eastAsia="zh-CN"/>
        </w:rPr>
        <w:t>）。</w:t>
      </w:r>
    </w:p>
    <w:p>
      <w:pPr>
        <w:keepNext w:val="0"/>
        <w:keepLines w:val="0"/>
        <w:pageBreakBefore w:val="0"/>
        <w:numPr>
          <w:ilvl w:val="0"/>
          <w:numId w:val="1"/>
        </w:numPr>
        <w:wordWrap/>
        <w:overflowPunct/>
        <w:topLinePunct w:val="0"/>
        <w:bidi w:val="0"/>
        <w:spacing w:line="560" w:lineRule="exact"/>
        <w:ind w:left="0" w:leftChars="0" w:firstLine="640" w:firstLineChars="200"/>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《排污许可证申请与核发技术规范</w:t>
      </w:r>
      <w:r>
        <w:rPr>
          <w:rFonts w:hint="eastAsia" w:ascii="方正仿宋_GBK" w:hAnsi="方正仿宋_GBK" w:eastAsia="方正仿宋_GBK" w:cs="方正仿宋_GBK"/>
          <w:b w:val="0"/>
          <w:bCs w:val="0"/>
          <w:color w:val="auto"/>
          <w:sz w:val="32"/>
          <w:szCs w:val="32"/>
          <w:highlight w:val="none"/>
          <w:lang w:val="en-US" w:eastAsia="zh-CN"/>
        </w:rPr>
        <w:t xml:space="preserve"> </w:t>
      </w:r>
      <w:r>
        <w:rPr>
          <w:rFonts w:hint="eastAsia" w:ascii="方正仿宋_GBK" w:hAnsi="方正仿宋_GBK" w:eastAsia="方正仿宋_GBK" w:cs="方正仿宋_GBK"/>
          <w:b w:val="0"/>
          <w:bCs w:val="0"/>
          <w:color w:val="auto"/>
          <w:sz w:val="32"/>
          <w:szCs w:val="32"/>
          <w:highlight w:val="none"/>
          <w:lang w:val="en-US" w:eastAsia="en-US"/>
        </w:rPr>
        <w:t>工业固体废物（试行）》（HJ</w:t>
      </w:r>
      <w:r>
        <w:rPr>
          <w:rFonts w:hint="eastAsia" w:ascii="方正仿宋_GBK" w:hAnsi="方正仿宋_GBK" w:eastAsia="方正仿宋_GBK" w:cs="方正仿宋_GBK"/>
          <w:b w:val="0"/>
          <w:bCs w:val="0"/>
          <w:color w:val="auto"/>
          <w:sz w:val="32"/>
          <w:szCs w:val="32"/>
          <w:highlight w:val="none"/>
          <w:lang w:val="en-US" w:eastAsia="zh-CN"/>
        </w:rPr>
        <w:t xml:space="preserve"> </w:t>
      </w:r>
      <w:r>
        <w:rPr>
          <w:rFonts w:hint="eastAsia" w:ascii="方正仿宋_GBK" w:hAnsi="方正仿宋_GBK" w:eastAsia="方正仿宋_GBK" w:cs="方正仿宋_GBK"/>
          <w:b w:val="0"/>
          <w:bCs w:val="0"/>
          <w:color w:val="auto"/>
          <w:sz w:val="32"/>
          <w:szCs w:val="32"/>
          <w:highlight w:val="none"/>
          <w:lang w:val="en-US" w:eastAsia="en-US"/>
        </w:rPr>
        <w:t>1200）</w:t>
      </w:r>
      <w:r>
        <w:rPr>
          <w:rFonts w:hint="eastAsia" w:ascii="方正仿宋_GBK" w:hAnsi="方正仿宋_GBK" w:eastAsia="方正仿宋_GBK" w:cs="方正仿宋_GBK"/>
          <w:b w:val="0"/>
          <w:bCs w:val="0"/>
          <w:color w:val="auto"/>
          <w:sz w:val="32"/>
          <w:szCs w:val="32"/>
          <w:highlight w:val="none"/>
          <w:lang w:val="en-US" w:eastAsia="zh-CN"/>
        </w:rPr>
        <w:t>。</w:t>
      </w:r>
    </w:p>
    <w:p>
      <w:pPr>
        <w:keepNext w:val="0"/>
        <w:keepLines w:val="0"/>
        <w:pageBreakBefore w:val="0"/>
        <w:numPr>
          <w:ilvl w:val="0"/>
          <w:numId w:val="1"/>
        </w:numPr>
        <w:wordWrap/>
        <w:overflowPunct/>
        <w:topLinePunct w:val="0"/>
        <w:bidi w:val="0"/>
        <w:spacing w:line="560" w:lineRule="exact"/>
        <w:ind w:left="0" w:leftChars="0" w:firstLine="640" w:firstLineChars="200"/>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《重庆市环境信息依法披露制度改革工作方案》</w:t>
      </w:r>
      <w:r>
        <w:rPr>
          <w:rFonts w:hint="eastAsia" w:ascii="方正仿宋_GBK" w:hAnsi="方正仿宋_GBK" w:eastAsia="方正仿宋_GBK" w:cs="方正仿宋_GBK"/>
          <w:b w:val="0"/>
          <w:bCs w:val="0"/>
          <w:color w:val="auto"/>
          <w:sz w:val="32"/>
          <w:szCs w:val="32"/>
          <w:highlight w:val="none"/>
          <w:lang w:val="en-US" w:eastAsia="zh-CN"/>
        </w:rPr>
        <w:t>（渝环规〔2021〕8号）。</w:t>
      </w:r>
    </w:p>
    <w:p>
      <w:pPr>
        <w:keepNext w:val="0"/>
        <w:keepLines w:val="0"/>
        <w:pageBreakBefore w:val="0"/>
        <w:numPr>
          <w:ilvl w:val="0"/>
          <w:numId w:val="1"/>
        </w:numPr>
        <w:wordWrap/>
        <w:overflowPunct/>
        <w:topLinePunct w:val="0"/>
        <w:bidi w:val="0"/>
        <w:spacing w:line="560" w:lineRule="exact"/>
        <w:ind w:left="0" w:leftChars="0" w:firstLine="640" w:firstLineChars="200"/>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《重庆市生态环境局关于强化固体废物信息化管理有关工作的通知》（渝环规〔2021〕3号）。</w:t>
      </w:r>
    </w:p>
    <w:p>
      <w:pPr>
        <w:keepNext w:val="0"/>
        <w:keepLines w:val="0"/>
        <w:pageBreakBefore w:val="0"/>
        <w:numPr>
          <w:ilvl w:val="0"/>
          <w:numId w:val="1"/>
        </w:numPr>
        <w:wordWrap/>
        <w:overflowPunct/>
        <w:topLinePunct w:val="0"/>
        <w:bidi w:val="0"/>
        <w:spacing w:line="560" w:lineRule="exact"/>
        <w:ind w:left="0" w:leftChars="0" w:firstLine="640" w:firstLineChars="200"/>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重庆市</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十四五</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工业固体废物污染环境防治规划</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eastAsia="zh-CN"/>
        </w:rPr>
        <w:t>渝</w:t>
      </w:r>
      <w:r>
        <w:rPr>
          <w:rFonts w:hint="eastAsia" w:ascii="方正仿宋_GBK" w:hAnsi="方正仿宋_GBK" w:eastAsia="方正仿宋_GBK" w:cs="方正仿宋_GBK"/>
          <w:b w:val="0"/>
          <w:bCs w:val="0"/>
          <w:color w:val="auto"/>
          <w:sz w:val="32"/>
          <w:szCs w:val="32"/>
          <w:highlight w:val="none"/>
          <w:lang w:val="en-US" w:eastAsia="zh-CN"/>
        </w:rPr>
        <w:t>环</w:t>
      </w:r>
      <w:r>
        <w:rPr>
          <w:rFonts w:hint="eastAsia" w:ascii="方正仿宋_GBK" w:hAnsi="方正仿宋_GBK" w:eastAsia="方正仿宋_GBK" w:cs="方正仿宋_GBK"/>
          <w:b w:val="0"/>
          <w:bCs w:val="0"/>
          <w:color w:val="auto"/>
          <w:sz w:val="32"/>
          <w:szCs w:val="32"/>
          <w:highlight w:val="none"/>
          <w:lang w:eastAsia="zh-CN"/>
        </w:rPr>
        <w:t>〔2022〕1</w:t>
      </w:r>
      <w:r>
        <w:rPr>
          <w:rFonts w:hint="eastAsia" w:ascii="方正仿宋_GBK" w:hAnsi="方正仿宋_GBK" w:eastAsia="方正仿宋_GBK" w:cs="方正仿宋_GBK"/>
          <w:b w:val="0"/>
          <w:bCs w:val="0"/>
          <w:color w:val="auto"/>
          <w:sz w:val="32"/>
          <w:szCs w:val="32"/>
          <w:highlight w:val="none"/>
          <w:lang w:val="en-US" w:eastAsia="zh-CN"/>
        </w:rPr>
        <w:t>46</w:t>
      </w:r>
      <w:r>
        <w:rPr>
          <w:rFonts w:hint="eastAsia" w:ascii="方正仿宋_GBK" w:hAnsi="方正仿宋_GBK" w:eastAsia="方正仿宋_GBK" w:cs="方正仿宋_GBK"/>
          <w:b w:val="0"/>
          <w:bCs w:val="0"/>
          <w:color w:val="auto"/>
          <w:sz w:val="32"/>
          <w:szCs w:val="32"/>
          <w:highlight w:val="none"/>
          <w:lang w:eastAsia="zh-CN"/>
        </w:rPr>
        <w:t>号</w:t>
      </w:r>
      <w:r>
        <w:rPr>
          <w:rFonts w:hint="eastAsia" w:ascii="方正仿宋_GBK" w:hAnsi="方正仿宋_GBK" w:eastAsia="方正仿宋_GBK" w:cs="方正仿宋_GBK"/>
          <w:b w:val="0"/>
          <w:bCs w:val="0"/>
          <w:color w:val="auto"/>
          <w:sz w:val="32"/>
          <w:szCs w:val="32"/>
          <w:highlight w:val="none"/>
          <w:lang w:val="en-US" w:eastAsia="zh-CN"/>
        </w:rPr>
        <w:t>）。</w:t>
      </w:r>
    </w:p>
    <w:p>
      <w:pPr>
        <w:pStyle w:val="12"/>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eastAsia="zh-CN"/>
        </w:rPr>
        <w:t>重庆市生态环境保护“</w:t>
      </w:r>
      <w:r>
        <w:rPr>
          <w:rFonts w:hint="eastAsia" w:ascii="方正仿宋_GBK" w:hAnsi="方正仿宋_GBK" w:eastAsia="方正仿宋_GBK" w:cs="方正仿宋_GBK"/>
          <w:b w:val="0"/>
          <w:bCs w:val="0"/>
          <w:color w:val="auto"/>
          <w:sz w:val="32"/>
          <w:szCs w:val="32"/>
          <w:highlight w:val="none"/>
        </w:rPr>
        <w:t>十四五</w:t>
      </w:r>
      <w:r>
        <w:rPr>
          <w:rFonts w:hint="eastAsia" w:ascii="方正仿宋_GBK" w:hAnsi="方正仿宋_GBK" w:eastAsia="方正仿宋_GBK" w:cs="方正仿宋_GBK"/>
          <w:b w:val="0"/>
          <w:bCs w:val="0"/>
          <w:color w:val="auto"/>
          <w:sz w:val="32"/>
          <w:szCs w:val="32"/>
          <w:highlight w:val="none"/>
          <w:lang w:eastAsia="zh-CN"/>
        </w:rPr>
        <w:t>”规划（2021</w:t>
      </w:r>
      <w:r>
        <w:rPr>
          <w:rFonts w:hint="eastAsia" w:ascii="方正仿宋_GBK" w:hAnsi="方正仿宋_GBK" w:eastAsia="方正仿宋_GBK" w:cs="方正仿宋_GBK"/>
          <w:b w:val="0"/>
          <w:bCs w:val="0"/>
          <w:color w:val="auto"/>
          <w:sz w:val="32"/>
          <w:szCs w:val="32"/>
          <w:highlight w:val="none"/>
          <w:lang w:val="en-US" w:eastAsia="zh-CN"/>
        </w:rPr>
        <w:sym w:font="Symbol" w:char="002D"/>
      </w:r>
      <w:r>
        <w:rPr>
          <w:rFonts w:hint="eastAsia" w:ascii="方正仿宋_GBK" w:hAnsi="方正仿宋_GBK" w:eastAsia="方正仿宋_GBK" w:cs="方正仿宋_GBK"/>
          <w:b w:val="0"/>
          <w:bCs w:val="0"/>
          <w:color w:val="auto"/>
          <w:sz w:val="32"/>
          <w:szCs w:val="32"/>
          <w:highlight w:val="none"/>
          <w:lang w:eastAsia="zh-CN"/>
        </w:rPr>
        <w:t>2025年）</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eastAsia="zh-CN"/>
        </w:rPr>
        <w:t>渝府发〔2022〕11号</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eastAsia="zh-CN"/>
        </w:rPr>
        <w:t>。</w:t>
      </w:r>
    </w:p>
    <w:p>
      <w:pPr>
        <w:pStyle w:val="12"/>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rPr>
        <w:t>《重庆市</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十四五</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时期</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无废城市</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建设实施方案》（渝无废组〔2022〕1号）</w:t>
      </w:r>
      <w:r>
        <w:rPr>
          <w:rFonts w:hint="eastAsia" w:ascii="方正仿宋_GBK" w:hAnsi="方正仿宋_GBK" w:eastAsia="方正仿宋_GBK" w:cs="方正仿宋_GBK"/>
          <w:b w:val="0"/>
          <w:bCs w:val="0"/>
          <w:color w:val="auto"/>
          <w:sz w:val="32"/>
          <w:szCs w:val="32"/>
          <w:highlight w:val="none"/>
          <w:lang w:eastAsia="zh-CN"/>
        </w:rPr>
        <w:t>。</w:t>
      </w:r>
    </w:p>
    <w:p>
      <w:pPr>
        <w:pStyle w:val="12"/>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rPr>
        <w:t>重庆市巴南区</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十四五</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时期</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无废城市</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建设实施方案</w:t>
      </w:r>
      <w:r>
        <w:rPr>
          <w:rFonts w:hint="eastAsia" w:ascii="方正仿宋_GBK" w:hAnsi="方正仿宋_GBK" w:eastAsia="方正仿宋_GBK" w:cs="方正仿宋_GBK"/>
          <w:b w:val="0"/>
          <w:bCs w:val="0"/>
          <w:color w:val="auto"/>
          <w:sz w:val="32"/>
          <w:szCs w:val="32"/>
          <w:highlight w:val="none"/>
          <w:lang w:val="en-US" w:eastAsia="zh-CN"/>
        </w:rPr>
        <w:t>》（巴南区生态环境局）。</w:t>
      </w:r>
    </w:p>
    <w:p>
      <w:pPr>
        <w:keepNext w:val="0"/>
        <w:keepLines w:val="0"/>
        <w:pageBreakBefore w:val="0"/>
        <w:wordWrap/>
        <w:overflowPunct/>
        <w:topLinePunct w:val="0"/>
        <w:bidi w:val="0"/>
        <w:spacing w:line="560" w:lineRule="exact"/>
        <w:ind w:firstLine="640" w:firstLineChars="200"/>
        <w:outlineLvl w:val="0"/>
        <w:rPr>
          <w:rFonts w:hint="default"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三、评估原则</w:t>
      </w:r>
    </w:p>
    <w:p>
      <w:pPr>
        <w:pStyle w:val="8"/>
        <w:keepNext w:val="0"/>
        <w:keepLines w:val="0"/>
        <w:pageBreakBefore w:val="0"/>
        <w:widowControl/>
        <w:suppressLineNumbers w:val="0"/>
        <w:pBdr>
          <w:top w:val="none" w:color="auto" w:sz="0" w:space="0"/>
          <w:left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60" w:lineRule="exact"/>
        <w:ind w:left="0" w:right="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为确保一般工业固体废物规范化管理评估的科学性、全面性和有效性，应遵循以下几点原则：</w:t>
      </w:r>
    </w:p>
    <w:p>
      <w:pPr>
        <w:pStyle w:val="8"/>
        <w:keepNext w:val="0"/>
        <w:keepLines w:val="0"/>
        <w:pageBreakBefore w:val="0"/>
        <w:widowControl/>
        <w:suppressLineNumbers w:val="0"/>
        <w:pBdr>
          <w:top w:val="none" w:color="auto" w:sz="0" w:space="0"/>
          <w:left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60" w:lineRule="exact"/>
        <w:ind w:left="0" w:right="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（一）落实企业主体责任。强调一般工业固体废物产生</w:t>
      </w:r>
      <w:r>
        <w:rPr>
          <w:rFonts w:hint="eastAsia" w:ascii="方正仿宋_GBK" w:hAnsi="方正仿宋_GBK" w:eastAsia="方正仿宋_GBK" w:cs="方正仿宋_GBK"/>
          <w:b w:val="0"/>
          <w:bCs w:val="0"/>
          <w:color w:val="auto"/>
          <w:kern w:val="0"/>
          <w:sz w:val="32"/>
          <w:szCs w:val="32"/>
          <w:highlight w:val="none"/>
          <w:lang w:val="en-US" w:eastAsia="zh-CN" w:bidi="ar-SA"/>
          <w14:ligatures w14:val="none"/>
        </w:rPr>
        <w:t>、收集、贮存、利用、处置</w:t>
      </w:r>
      <w:r>
        <w:rPr>
          <w:rFonts w:hint="eastAsia" w:ascii="方正仿宋_GBK" w:hAnsi="方正仿宋_GBK" w:eastAsia="方正仿宋_GBK" w:cs="方正仿宋_GBK"/>
          <w:b w:val="0"/>
          <w:bCs w:val="0"/>
          <w:color w:val="auto"/>
          <w:sz w:val="32"/>
          <w:szCs w:val="32"/>
          <w:highlight w:val="none"/>
          <w:lang w:val="en-US" w:eastAsia="zh-CN"/>
        </w:rPr>
        <w:t>单位应当全面承担起防止一般工业固体废物污染环境的法律责任，规范贮存、利用和处置一般工业固体废物，做好各环节台账管理及转移管理等工作，确保一般工业固体废物管理流程的完整性、合规性及可追溯性。</w:t>
      </w:r>
    </w:p>
    <w:p>
      <w:pPr>
        <w:pStyle w:val="8"/>
        <w:keepNext w:val="0"/>
        <w:keepLines w:val="0"/>
        <w:pageBreakBefore w:val="0"/>
        <w:widowControl w:val="0"/>
        <w:suppressLineNumbers w:val="0"/>
        <w:pBdr>
          <w:top w:val="none" w:color="auto" w:sz="0" w:space="0"/>
          <w:left w:val="none" w:color="auto" w:sz="0" w:space="0"/>
          <w:right w:val="none" w:color="auto" w:sz="0" w:space="0"/>
        </w:pBdr>
        <w:shd w:val="clear" w:fill="FFFFFF"/>
        <w:kinsoku w:val="0"/>
        <w:wordWrap/>
        <w:overflowPunct w:val="0"/>
        <w:topLinePunct w:val="0"/>
        <w:autoSpaceDE w:val="0"/>
        <w:autoSpaceDN w:val="0"/>
        <w:bidi w:val="0"/>
        <w:adjustRightInd/>
        <w:snapToGrid/>
        <w:spacing w:before="0" w:beforeAutospacing="0" w:afterAutospacing="0" w:line="560" w:lineRule="exact"/>
        <w:ind w:left="0" w:right="0" w:firstLineChars="200"/>
        <w:jc w:val="both"/>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二）促进常态化评估。明确本级生态环境部门在一般工业固体废物规范化环境管理评估工作中负责统筹协调的具体职责，同时，鼓励涉及一般工业固体废物的相关单位定期开展自评估，形成上下联动的常态化评估格局。</w:t>
      </w:r>
    </w:p>
    <w:p>
      <w:pPr>
        <w:pStyle w:val="8"/>
        <w:keepNext w:val="0"/>
        <w:keepLines w:val="0"/>
        <w:pageBreakBefore w:val="0"/>
        <w:widowControl w:val="0"/>
        <w:suppressLineNumbers w:val="0"/>
        <w:pBdr>
          <w:top w:val="none" w:color="auto" w:sz="0" w:space="0"/>
          <w:left w:val="none" w:color="auto" w:sz="0" w:space="0"/>
          <w:right w:val="none" w:color="auto" w:sz="0" w:space="0"/>
        </w:pBdr>
        <w:shd w:val="clear" w:fill="FFFFFF"/>
        <w:kinsoku w:val="0"/>
        <w:wordWrap/>
        <w:overflowPunct w:val="0"/>
        <w:topLinePunct w:val="0"/>
        <w:autoSpaceDE w:val="0"/>
        <w:autoSpaceDN w:val="0"/>
        <w:bidi w:val="0"/>
        <w:adjustRightInd/>
        <w:snapToGrid/>
        <w:spacing w:before="0" w:beforeAutospacing="0" w:afterAutospacing="0" w:line="560" w:lineRule="exact"/>
        <w:ind w:left="0" w:right="0" w:firstLineChars="200"/>
        <w:jc w:val="both"/>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三）坚持重点聚焦与以点带面。在评估过程中，应确保评估范围覆盖全区重点单位，实现全面监管。同时，通过规范化环境管理评估，推动所有产生一般工业固体废物的企业开展环境风险隐患排查治理，提升整体管理水平。</w:t>
      </w:r>
    </w:p>
    <w:p>
      <w:pPr>
        <w:pStyle w:val="8"/>
        <w:keepNext w:val="0"/>
        <w:keepLines w:val="0"/>
        <w:pageBreakBefore w:val="0"/>
        <w:widowControl w:val="0"/>
        <w:suppressLineNumbers w:val="0"/>
        <w:pBdr>
          <w:top w:val="none" w:color="auto" w:sz="0" w:space="0"/>
          <w:left w:val="none" w:color="auto" w:sz="0" w:space="0"/>
          <w:right w:val="none" w:color="auto" w:sz="0" w:space="0"/>
        </w:pBdr>
        <w:shd w:val="clear" w:fill="FFFFFF"/>
        <w:kinsoku w:val="0"/>
        <w:wordWrap/>
        <w:overflowPunct w:val="0"/>
        <w:topLinePunct w:val="0"/>
        <w:autoSpaceDE w:val="0"/>
        <w:autoSpaceDN w:val="0"/>
        <w:bidi w:val="0"/>
        <w:adjustRightInd/>
        <w:snapToGrid/>
        <w:spacing w:before="0" w:beforeAutospacing="0" w:afterAutospacing="0" w:line="560" w:lineRule="exact"/>
        <w:ind w:left="0" w:right="0" w:firstLineChars="200"/>
        <w:jc w:val="both"/>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（四）加强信息化管理。将信息化应用作为规范化评估的主要手段，要求企业充分利用</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highlight w:val="none"/>
          <w:lang w:val="en-US" w:eastAsia="zh-CN"/>
        </w:rPr>
        <w:t>巴渝治废管理信息系统</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highlight w:val="none"/>
          <w:lang w:val="en-US" w:eastAsia="zh-CN"/>
        </w:rPr>
        <w:t>及其他国家或市级相关系统辅助管理一般工业固体废物，实现一般工业固体废物从产生到贮存、转移及利用处置的全链条信息化追踪与监管，通过信息化手段提升管理效率，确保数据的准确性与及时性。</w:t>
      </w:r>
    </w:p>
    <w:p>
      <w:pPr>
        <w:pStyle w:val="8"/>
        <w:keepNext w:val="0"/>
        <w:keepLines w:val="0"/>
        <w:pageBreakBefore w:val="0"/>
        <w:widowControl w:val="0"/>
        <w:suppressLineNumbers w:val="0"/>
        <w:pBdr>
          <w:top w:val="none" w:color="auto" w:sz="0" w:space="0"/>
          <w:left w:val="none" w:color="auto" w:sz="0" w:space="0"/>
          <w:right w:val="none" w:color="auto" w:sz="0" w:space="0"/>
        </w:pBdr>
        <w:shd w:val="clear" w:fill="FFFFFF"/>
        <w:kinsoku w:val="0"/>
        <w:wordWrap/>
        <w:overflowPunct w:val="0"/>
        <w:topLinePunct w:val="0"/>
        <w:autoSpaceDE w:val="0"/>
        <w:autoSpaceDN w:val="0"/>
        <w:bidi w:val="0"/>
        <w:adjustRightInd/>
        <w:snapToGrid/>
        <w:spacing w:before="0" w:beforeAutospacing="0" w:afterAutospacing="0" w:line="560" w:lineRule="exact"/>
        <w:ind w:left="0" w:right="0" w:firstLineChars="200"/>
        <w:jc w:val="both"/>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五）推动问题跟踪与整改。对评估中发现的一般工业固体废物管理问题进行动态跟踪与记录，督促企业制定并实施整改措施，确保问题得到及时有效解决。同时，将评估结果与生态环境监督执法正面清单挂钩，对涉嫌环境违法的企业依法依规进行处理。</w:t>
      </w:r>
    </w:p>
    <w:p>
      <w:pPr>
        <w:keepNext w:val="0"/>
        <w:keepLines w:val="0"/>
        <w:pageBreakBefore w:val="0"/>
        <w:wordWrap/>
        <w:overflowPunct/>
        <w:topLinePunct w:val="0"/>
        <w:bidi w:val="0"/>
        <w:spacing w:line="560" w:lineRule="exact"/>
        <w:ind w:firstLine="640" w:firstLineChars="200"/>
        <w:outlineLvl w:val="0"/>
        <w:rPr>
          <w:rFonts w:hint="eastAsia" w:ascii="方正黑体_GBK" w:hAnsi="方正黑体_GBK" w:eastAsia="方正黑体_GBK" w:cs="方正黑体_GBK"/>
          <w:b w:val="0"/>
          <w:bCs w:val="0"/>
          <w:color w:val="auto"/>
          <w:sz w:val="32"/>
          <w:szCs w:val="32"/>
          <w:highlight w:val="none"/>
          <w:lang w:val="en-US"/>
        </w:rPr>
      </w:pPr>
      <w:r>
        <w:rPr>
          <w:rFonts w:hint="eastAsia" w:ascii="方正黑体_GBK" w:hAnsi="方正黑体_GBK" w:eastAsia="方正黑体_GBK" w:cs="方正黑体_GBK"/>
          <w:b w:val="0"/>
          <w:bCs w:val="0"/>
          <w:color w:val="auto"/>
          <w:sz w:val="32"/>
          <w:szCs w:val="32"/>
          <w:highlight w:val="none"/>
          <w:lang w:val="en-US" w:eastAsia="zh-CN"/>
        </w:rPr>
        <w:t>四</w:t>
      </w:r>
      <w:r>
        <w:rPr>
          <w:rFonts w:hint="eastAsia" w:ascii="方正黑体_GBK" w:hAnsi="方正黑体_GBK" w:eastAsia="方正黑体_GBK" w:cs="方正黑体_GBK"/>
          <w:b w:val="0"/>
          <w:bCs w:val="0"/>
          <w:color w:val="auto"/>
          <w:sz w:val="32"/>
          <w:szCs w:val="32"/>
          <w:highlight w:val="none"/>
        </w:rPr>
        <w:t>、</w:t>
      </w:r>
      <w:r>
        <w:rPr>
          <w:rFonts w:hint="eastAsia" w:ascii="方正黑体_GBK" w:hAnsi="方正黑体_GBK" w:eastAsia="方正黑体_GBK" w:cs="方正黑体_GBK"/>
          <w:b w:val="0"/>
          <w:bCs w:val="0"/>
          <w:color w:val="auto"/>
          <w:sz w:val="32"/>
          <w:szCs w:val="32"/>
          <w:highlight w:val="none"/>
          <w:lang w:val="en-US" w:eastAsia="zh-CN"/>
        </w:rPr>
        <w:t>评估内容</w:t>
      </w:r>
    </w:p>
    <w:p>
      <w:pPr>
        <w:pStyle w:val="8"/>
        <w:keepNext w:val="0"/>
        <w:keepLines w:val="0"/>
        <w:pageBreakBefore w:val="0"/>
        <w:widowControl w:val="0"/>
        <w:suppressLineNumbers w:val="0"/>
        <w:pBdr>
          <w:top w:val="none" w:color="auto" w:sz="0" w:space="0"/>
          <w:left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60" w:lineRule="exact"/>
        <w:ind w:left="0" w:right="0" w:firstLine="640" w:firstLineChars="200"/>
        <w:jc w:val="both"/>
        <w:textAlignment w:val="auto"/>
        <w:outlineLvl w:val="0"/>
        <w:rPr>
          <w:rFonts w:hint="default" w:ascii="Times New Roman" w:hAnsi="Times New Roman" w:eastAsia="方正仿宋_GBK" w:cs="Times New Roman"/>
          <w:b w:val="0"/>
          <w:bCs w:val="0"/>
          <w:color w:val="auto"/>
          <w:sz w:val="32"/>
          <w:szCs w:val="32"/>
          <w:highlight w:val="none"/>
          <w:lang w:val="en-US" w:eastAsia="zh-CN" w:bidi="ar"/>
        </w:rPr>
      </w:pPr>
      <w:r>
        <w:rPr>
          <w:rFonts w:hint="default" w:ascii="Times New Roman" w:hAnsi="Times New Roman" w:eastAsia="方正仿宋_GBK" w:cs="Times New Roman"/>
          <w:b w:val="0"/>
          <w:bCs w:val="0"/>
          <w:color w:val="auto"/>
          <w:sz w:val="32"/>
          <w:szCs w:val="32"/>
          <w:highlight w:val="none"/>
          <w:lang w:val="en-US" w:eastAsia="zh-CN" w:bidi="ar"/>
        </w:rPr>
        <w:t>重庆市巴南区</w:t>
      </w:r>
      <w:r>
        <w:rPr>
          <w:rFonts w:hint="eastAsia" w:ascii="Times New Roman" w:hAnsi="Times New Roman" w:eastAsia="方正仿宋_GBK" w:cs="Times New Roman"/>
          <w:b w:val="0"/>
          <w:bCs w:val="0"/>
          <w:color w:val="auto"/>
          <w:sz w:val="32"/>
          <w:szCs w:val="32"/>
          <w:highlight w:val="none"/>
          <w:lang w:eastAsia="zh-CN" w:bidi="ar"/>
        </w:rPr>
        <w:t>一般工业固体废物规范化</w:t>
      </w:r>
      <w:r>
        <w:rPr>
          <w:rFonts w:hint="default" w:ascii="Times New Roman" w:hAnsi="Times New Roman" w:eastAsia="方正仿宋_GBK" w:cs="Times New Roman"/>
          <w:b w:val="0"/>
          <w:bCs w:val="0"/>
          <w:color w:val="auto"/>
          <w:sz w:val="32"/>
          <w:szCs w:val="32"/>
          <w:highlight w:val="none"/>
          <w:lang w:val="en-US" w:eastAsia="zh-CN" w:bidi="ar"/>
        </w:rPr>
        <w:t>环境</w:t>
      </w:r>
      <w:r>
        <w:rPr>
          <w:rFonts w:hint="eastAsia" w:ascii="Times New Roman" w:hAnsi="Times New Roman" w:eastAsia="方正仿宋_GBK" w:cs="Times New Roman"/>
          <w:b w:val="0"/>
          <w:bCs w:val="0"/>
          <w:color w:val="auto"/>
          <w:sz w:val="32"/>
          <w:szCs w:val="32"/>
          <w:highlight w:val="none"/>
          <w:lang w:eastAsia="zh-CN" w:bidi="ar"/>
        </w:rPr>
        <w:t>管理</w:t>
      </w:r>
      <w:r>
        <w:rPr>
          <w:rFonts w:hint="default" w:ascii="Times New Roman" w:hAnsi="Times New Roman" w:eastAsia="方正仿宋_GBK" w:cs="Times New Roman"/>
          <w:b w:val="0"/>
          <w:bCs w:val="0"/>
          <w:color w:val="auto"/>
          <w:sz w:val="32"/>
          <w:szCs w:val="32"/>
          <w:highlight w:val="none"/>
          <w:lang w:val="en-US" w:eastAsia="zh-CN" w:bidi="ar"/>
        </w:rPr>
        <w:t>评估</w:t>
      </w:r>
      <w:r>
        <w:rPr>
          <w:rFonts w:hint="eastAsia" w:ascii="Times New Roman" w:hAnsi="Times New Roman" w:eastAsia="方正仿宋_GBK" w:cs="Times New Roman"/>
          <w:b w:val="0"/>
          <w:bCs w:val="0"/>
          <w:color w:val="auto"/>
          <w:sz w:val="32"/>
          <w:szCs w:val="32"/>
          <w:highlight w:val="none"/>
          <w:lang w:eastAsia="zh-CN" w:bidi="ar"/>
        </w:rPr>
        <w:t>主要</w:t>
      </w:r>
      <w:r>
        <w:rPr>
          <w:rFonts w:hint="default" w:ascii="Times New Roman" w:hAnsi="Times New Roman" w:eastAsia="方正仿宋_GBK" w:cs="Times New Roman"/>
          <w:b w:val="0"/>
          <w:bCs w:val="0"/>
          <w:color w:val="auto"/>
          <w:sz w:val="32"/>
          <w:szCs w:val="32"/>
          <w:highlight w:val="none"/>
          <w:lang w:val="en-US" w:eastAsia="zh-CN" w:bidi="ar"/>
        </w:rPr>
        <w:t>针对五项制度和四项管理内容，包括：环境影响评价制度、排污许可制度、清洁生产制度、管理台账制度、信息公开制度、贮存管理、利用处置管理、转移管理和产生单位内部管理。</w:t>
      </w:r>
    </w:p>
    <w:p>
      <w:pPr>
        <w:keepNext w:val="0"/>
        <w:keepLines w:val="0"/>
        <w:pageBreakBefore w:val="0"/>
        <w:wordWrap/>
        <w:overflowPunct/>
        <w:topLinePunct w:val="0"/>
        <w:bidi w:val="0"/>
        <w:spacing w:line="560" w:lineRule="exact"/>
        <w:ind w:firstLine="640" w:firstLineChars="200"/>
        <w:outlineLvl w:val="0"/>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五、评估标准</w:t>
      </w:r>
    </w:p>
    <w:p>
      <w:pPr>
        <w:pStyle w:val="8"/>
        <w:keepNext w:val="0"/>
        <w:keepLines w:val="0"/>
        <w:pageBreakBefore w:val="0"/>
        <w:widowControl w:val="0"/>
        <w:suppressLineNumbers w:val="0"/>
        <w:pBdr>
          <w:top w:val="none" w:color="auto" w:sz="0" w:space="0"/>
          <w:left w:val="none" w:color="auto" w:sz="0" w:space="0"/>
          <w:right w:val="none" w:color="auto" w:sz="0" w:space="0"/>
        </w:pBdr>
        <w:shd w:val="clear"/>
        <w:kinsoku/>
        <w:wordWrap/>
        <w:overflowPunct/>
        <w:topLinePunct w:val="0"/>
        <w:autoSpaceDE/>
        <w:autoSpaceDN/>
        <w:bidi w:val="0"/>
        <w:adjustRightInd/>
        <w:snapToGrid/>
        <w:spacing w:before="0" w:beforeAutospacing="0" w:afterAutospacing="0" w:line="560" w:lineRule="exact"/>
        <w:ind w:left="0" w:right="0" w:firstLine="640" w:firstLineChars="200"/>
        <w:jc w:val="both"/>
        <w:textAlignment w:val="auto"/>
        <w:outlineLvl w:val="0"/>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kern w:val="0"/>
          <w:sz w:val="32"/>
          <w:szCs w:val="32"/>
          <w:lang w:val="en-US" w:eastAsia="zh-CN" w:bidi="ar"/>
        </w:rPr>
        <w:t>评估结果分为达标、基本达标和不达标三个等级，依据是否具有一般工业固体废物自行利用或处置设施（含尾矿库），分为两种情形。一是</w:t>
      </w:r>
      <w:r>
        <w:rPr>
          <w:rFonts w:hint="eastAsia" w:ascii="方正仿宋_GBK" w:hAnsi="方正仿宋_GBK" w:eastAsia="方正仿宋_GBK" w:cs="方正仿宋_GBK"/>
          <w:b w:val="0"/>
          <w:bCs w:val="0"/>
          <w:snapToGrid/>
          <w:color w:val="auto"/>
          <w:spacing w:val="0"/>
          <w:kern w:val="0"/>
          <w:sz w:val="32"/>
          <w:szCs w:val="32"/>
          <w:lang w:val="en-US" w:eastAsia="zh-CN" w:bidi="ar"/>
          <w14:ligatures w14:val="standardContextual"/>
        </w:rPr>
        <w:t>无自行利用或处置设施的产生单位满分为40分，32（含）</w:t>
      </w:r>
      <w:r>
        <w:rPr>
          <w:rFonts w:hint="eastAsia" w:ascii="方正仿宋_GBK" w:hAnsi="方正仿宋_GBK" w:eastAsia="方正仿宋_GBK" w:cs="方正仿宋_GBK"/>
          <w:b w:val="0"/>
          <w:bCs w:val="0"/>
          <w:snapToGrid/>
          <w:color w:val="auto"/>
          <w:spacing w:val="0"/>
          <w:kern w:val="0"/>
          <w:sz w:val="32"/>
          <w:szCs w:val="32"/>
          <w:lang w:val="en-US" w:eastAsia="zh-CN" w:bidi="ar"/>
          <w14:ligatures w14:val="standardContextual"/>
        </w:rPr>
        <w:sym w:font="Symbol" w:char="002D"/>
      </w:r>
      <w:r>
        <w:rPr>
          <w:rFonts w:hint="eastAsia" w:ascii="方正仿宋_GBK" w:hAnsi="方正仿宋_GBK" w:eastAsia="方正仿宋_GBK" w:cs="方正仿宋_GBK"/>
          <w:b w:val="0"/>
          <w:bCs w:val="0"/>
          <w:snapToGrid/>
          <w:color w:val="auto"/>
          <w:spacing w:val="0"/>
          <w:kern w:val="0"/>
          <w:sz w:val="32"/>
          <w:szCs w:val="32"/>
          <w:lang w:val="en-US" w:eastAsia="zh-CN" w:bidi="ar"/>
          <w14:ligatures w14:val="standardContextual"/>
        </w:rPr>
        <w:t>40分为达标，24（含）</w:t>
      </w:r>
      <w:r>
        <w:rPr>
          <w:rFonts w:hint="eastAsia" w:ascii="方正仿宋_GBK" w:hAnsi="方正仿宋_GBK" w:eastAsia="方正仿宋_GBK" w:cs="方正仿宋_GBK"/>
          <w:b w:val="0"/>
          <w:bCs w:val="0"/>
          <w:snapToGrid/>
          <w:color w:val="auto"/>
          <w:spacing w:val="0"/>
          <w:kern w:val="0"/>
          <w:sz w:val="32"/>
          <w:szCs w:val="32"/>
          <w:lang w:val="en-US" w:eastAsia="zh-CN" w:bidi="ar"/>
          <w14:ligatures w14:val="standardContextual"/>
        </w:rPr>
        <w:sym w:font="Symbol" w:char="002D"/>
      </w:r>
      <w:r>
        <w:rPr>
          <w:rFonts w:hint="eastAsia" w:ascii="方正仿宋_GBK" w:hAnsi="方正仿宋_GBK" w:eastAsia="方正仿宋_GBK" w:cs="方正仿宋_GBK"/>
          <w:b w:val="0"/>
          <w:bCs w:val="0"/>
          <w:snapToGrid/>
          <w:color w:val="auto"/>
          <w:spacing w:val="0"/>
          <w:kern w:val="0"/>
          <w:sz w:val="32"/>
          <w:szCs w:val="32"/>
          <w:lang w:val="en-US" w:eastAsia="zh-CN" w:bidi="ar"/>
          <w14:ligatures w14:val="standardContextual"/>
        </w:rPr>
        <w:t>32分为基本达标，24分以下为不达标。二是有自行利用或处置设施的产生单位满分为60分，48（含）</w:t>
      </w:r>
      <w:r>
        <w:rPr>
          <w:rFonts w:hint="eastAsia" w:ascii="方正仿宋_GBK" w:hAnsi="方正仿宋_GBK" w:eastAsia="方正仿宋_GBK" w:cs="方正仿宋_GBK"/>
          <w:b w:val="0"/>
          <w:bCs w:val="0"/>
          <w:snapToGrid/>
          <w:color w:val="auto"/>
          <w:spacing w:val="0"/>
          <w:kern w:val="0"/>
          <w:sz w:val="32"/>
          <w:szCs w:val="32"/>
          <w:lang w:val="en-US" w:eastAsia="zh-CN" w:bidi="ar"/>
          <w14:ligatures w14:val="standardContextual"/>
        </w:rPr>
        <w:sym w:font="Symbol" w:char="002D"/>
      </w:r>
      <w:r>
        <w:rPr>
          <w:rFonts w:hint="eastAsia" w:ascii="方正仿宋_GBK" w:hAnsi="方正仿宋_GBK" w:eastAsia="方正仿宋_GBK" w:cs="方正仿宋_GBK"/>
          <w:b w:val="0"/>
          <w:bCs w:val="0"/>
          <w:snapToGrid/>
          <w:color w:val="auto"/>
          <w:spacing w:val="0"/>
          <w:kern w:val="0"/>
          <w:sz w:val="32"/>
          <w:szCs w:val="32"/>
          <w:lang w:val="en-US" w:eastAsia="zh-CN" w:bidi="ar"/>
          <w14:ligatures w14:val="standardContextual"/>
        </w:rPr>
        <w:t>60分为达标，36（含）</w:t>
      </w:r>
      <w:r>
        <w:rPr>
          <w:rFonts w:hint="eastAsia" w:ascii="方正仿宋_GBK" w:hAnsi="方正仿宋_GBK" w:eastAsia="方正仿宋_GBK" w:cs="方正仿宋_GBK"/>
          <w:b w:val="0"/>
          <w:bCs w:val="0"/>
          <w:snapToGrid/>
          <w:color w:val="auto"/>
          <w:spacing w:val="0"/>
          <w:kern w:val="0"/>
          <w:sz w:val="32"/>
          <w:szCs w:val="32"/>
          <w:lang w:val="en-US" w:eastAsia="zh-CN" w:bidi="ar"/>
          <w14:ligatures w14:val="standardContextual"/>
        </w:rPr>
        <w:sym w:font="Symbol" w:char="002D"/>
      </w:r>
      <w:r>
        <w:rPr>
          <w:rFonts w:hint="eastAsia" w:ascii="方正仿宋_GBK" w:hAnsi="方正仿宋_GBK" w:eastAsia="方正仿宋_GBK" w:cs="方正仿宋_GBK"/>
          <w:b w:val="0"/>
          <w:bCs w:val="0"/>
          <w:snapToGrid/>
          <w:color w:val="auto"/>
          <w:spacing w:val="0"/>
          <w:kern w:val="0"/>
          <w:sz w:val="32"/>
          <w:szCs w:val="32"/>
          <w:lang w:val="en-US" w:eastAsia="zh-CN" w:bidi="ar"/>
          <w14:ligatures w14:val="standardContextual"/>
        </w:rPr>
        <w:t>48分为基本达标，36分以下为不达标。</w:t>
      </w:r>
    </w:p>
    <w:p>
      <w:pPr>
        <w:keepNext w:val="0"/>
        <w:keepLines w:val="0"/>
        <w:pageBreakBefore w:val="0"/>
        <w:wordWrap/>
        <w:overflowPunct/>
        <w:topLinePunct w:val="0"/>
        <w:bidi w:val="0"/>
        <w:spacing w:line="560" w:lineRule="exact"/>
        <w:ind w:firstLine="640" w:firstLineChars="200"/>
        <w:outlineLvl w:val="0"/>
        <w:rPr>
          <w:rFonts w:hint="default"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六、评估程序</w:t>
      </w:r>
    </w:p>
    <w:p>
      <w:pPr>
        <w:pStyle w:val="8"/>
        <w:keepNext w:val="0"/>
        <w:keepLines w:val="0"/>
        <w:pageBreakBefore w:val="0"/>
        <w:widowControl/>
        <w:suppressLineNumbers w:val="0"/>
        <w:pBdr>
          <w:top w:val="none" w:color="auto" w:sz="0" w:space="0"/>
          <w:left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60" w:lineRule="exact"/>
        <w:ind w:left="0" w:right="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巴南区一般工业固体废物规范化环境管理评估由本级管理部门统筹开展，每年度开展一次。</w:t>
      </w:r>
    </w:p>
    <w:p>
      <w:pPr>
        <w:pStyle w:val="8"/>
        <w:keepNext w:val="0"/>
        <w:keepLines w:val="0"/>
        <w:pageBreakBefore w:val="0"/>
        <w:widowControl/>
        <w:suppressLineNumbers w:val="0"/>
        <w:pBdr>
          <w:top w:val="none" w:color="auto" w:sz="0" w:space="0"/>
          <w:left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60" w:lineRule="exact"/>
        <w:ind w:left="0" w:right="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（1）企业自评。各相关企业根据管理部门的安排，对照《巴南区一般工业固体废物规范化环境管理评估表》的内容及评分细则，参考评估材料要求，结合实际情况进行自查并逐项报送相关评估材料。</w:t>
      </w:r>
    </w:p>
    <w:p>
      <w:pPr>
        <w:pStyle w:val="8"/>
        <w:keepNext w:val="0"/>
        <w:keepLines w:val="0"/>
        <w:pageBreakBefore w:val="0"/>
        <w:widowControl/>
        <w:suppressLineNumbers w:val="0"/>
        <w:pBdr>
          <w:top w:val="none" w:color="auto" w:sz="0" w:space="0"/>
          <w:left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60" w:lineRule="exact"/>
        <w:ind w:left="0" w:right="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（2）管理部门评估。由管理部门组织评估小组，或委托第三方开展一般工业固体废物规范化管理的资料审查、现场核查，以及综合评估。综合评估包含以下程序：</w:t>
      </w:r>
    </w:p>
    <w:p>
      <w:pPr>
        <w:pStyle w:val="8"/>
        <w:keepNext w:val="0"/>
        <w:keepLines w:val="0"/>
        <w:pageBreakBefore w:val="0"/>
        <w:widowControl/>
        <w:suppressLineNumbers w:val="0"/>
        <w:pBdr>
          <w:top w:val="none" w:color="auto" w:sz="0" w:space="0"/>
          <w:left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60" w:lineRule="exact"/>
        <w:ind w:left="0" w:right="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1）资料审查：评估小组首先对企业提交的一般工业固体废物管理相关资料进行审查，初步了解企业管理情况。</w:t>
      </w:r>
    </w:p>
    <w:p>
      <w:pPr>
        <w:pStyle w:val="8"/>
        <w:keepNext w:val="0"/>
        <w:keepLines w:val="0"/>
        <w:pageBreakBefore w:val="0"/>
        <w:widowControl/>
        <w:suppressLineNumbers w:val="0"/>
        <w:pBdr>
          <w:top w:val="none" w:color="auto" w:sz="0" w:space="0"/>
          <w:left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60" w:lineRule="exact"/>
        <w:ind w:left="0" w:right="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2）现场核查：评估小组深入企业现场，对贮存设施、运输过程、利用与处置设施等进行实地核查，核实资料的真实性。</w:t>
      </w:r>
    </w:p>
    <w:p>
      <w:pPr>
        <w:pStyle w:val="8"/>
        <w:keepNext w:val="0"/>
        <w:keepLines w:val="0"/>
        <w:pageBreakBefore w:val="0"/>
        <w:widowControl/>
        <w:suppressLineNumbers w:val="0"/>
        <w:pBdr>
          <w:top w:val="none" w:color="auto" w:sz="0" w:space="0"/>
          <w:left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60" w:lineRule="exact"/>
        <w:ind w:left="0" w:right="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3）综合评分：评估小组根据资料审查情况和现场核查结果，按照评分标准进行综合评分。</w:t>
      </w:r>
    </w:p>
    <w:p>
      <w:pPr>
        <w:pStyle w:val="8"/>
        <w:keepNext w:val="0"/>
        <w:keepLines w:val="0"/>
        <w:pageBreakBefore w:val="0"/>
        <w:widowControl/>
        <w:suppressLineNumbers w:val="0"/>
        <w:pBdr>
          <w:top w:val="none" w:color="auto" w:sz="0" w:space="0"/>
          <w:left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60" w:lineRule="exact"/>
        <w:ind w:left="0" w:right="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4）结果反馈：评估小组将评分结果及存在的问题和改进建议反馈给企业，并督促企业及时整改。</w:t>
      </w:r>
    </w:p>
    <w:p>
      <w:pPr>
        <w:pStyle w:val="8"/>
        <w:keepNext w:val="0"/>
        <w:keepLines w:val="0"/>
        <w:pageBreakBefore w:val="0"/>
        <w:widowControl/>
        <w:suppressLineNumbers w:val="0"/>
        <w:pBdr>
          <w:top w:val="none" w:color="auto" w:sz="0" w:space="0"/>
          <w:left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60" w:lineRule="exact"/>
        <w:ind w:left="0" w:right="0" w:firstLineChars="200"/>
        <w:jc w:val="both"/>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（3）评估注意事项：</w:t>
      </w:r>
    </w:p>
    <w:p>
      <w:pPr>
        <w:pStyle w:val="8"/>
        <w:keepNext w:val="0"/>
        <w:keepLines w:val="0"/>
        <w:pageBreakBefore w:val="0"/>
        <w:widowControl/>
        <w:suppressLineNumbers w:val="0"/>
        <w:pBdr>
          <w:top w:val="none" w:color="auto" w:sz="0" w:space="0"/>
          <w:left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60" w:lineRule="exact"/>
        <w:ind w:left="0" w:right="0" w:firstLineChars="200"/>
        <w:jc w:val="both"/>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1）评估过程中，评估小组应坚持公正、公平、公开的原则，确保评估结果的准确性和有效性。</w:t>
      </w:r>
    </w:p>
    <w:p>
      <w:pPr>
        <w:pStyle w:val="8"/>
        <w:keepNext w:val="0"/>
        <w:keepLines w:val="0"/>
        <w:pageBreakBefore w:val="0"/>
        <w:widowControl/>
        <w:suppressLineNumbers w:val="0"/>
        <w:pBdr>
          <w:top w:val="none" w:color="auto" w:sz="0" w:space="0"/>
          <w:left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60" w:lineRule="exact"/>
        <w:ind w:left="0" w:right="0" w:firstLineChars="200"/>
        <w:jc w:val="both"/>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2）企业应积极配合评估工作，提供真实、完整的资料，确保评估工作顺利进行。</w:t>
      </w:r>
    </w:p>
    <w:p>
      <w:pPr>
        <w:pStyle w:val="8"/>
        <w:keepNext w:val="0"/>
        <w:keepLines w:val="0"/>
        <w:pageBreakBefore w:val="0"/>
        <w:widowControl/>
        <w:suppressLineNumbers w:val="0"/>
        <w:pBdr>
          <w:top w:val="none" w:color="auto" w:sz="0" w:space="0"/>
          <w:left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60" w:lineRule="exact"/>
        <w:ind w:left="0" w:right="0" w:firstLineChars="200"/>
        <w:jc w:val="both"/>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3）评估结果将作为企业一般工业固体废物管理规范化水平的重要依据，并作为后续监管和奖惩的依据。</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 w:cs="Times New Roman"/>
          <w:b w:val="0"/>
          <w:bCs w:val="0"/>
          <w:color w:val="auto"/>
          <w:sz w:val="32"/>
          <w:szCs w:val="32"/>
          <w:highlight w:val="none"/>
          <w:lang w:val="en-US" w:eastAsia="zh-CN"/>
        </w:rPr>
      </w:pP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 w:cs="Times New Roman"/>
          <w:b w:val="0"/>
          <w:bCs w:val="0"/>
          <w:color w:val="auto"/>
          <w:sz w:val="32"/>
          <w:szCs w:val="32"/>
          <w:highlight w:val="none"/>
          <w:lang w:val="en-US" w:eastAsia="zh-CN"/>
        </w:rPr>
      </w:pPr>
      <w:r>
        <w:rPr>
          <w:rFonts w:hint="eastAsia" w:ascii="Times New Roman" w:hAnsi="Times New Roman" w:eastAsia="仿宋" w:cs="Times New Roman"/>
          <w:b w:val="0"/>
          <w:bCs w:val="0"/>
          <w:color w:val="auto"/>
          <w:sz w:val="32"/>
          <w:szCs w:val="32"/>
          <w:highlight w:val="none"/>
          <w:lang w:val="en-US" w:eastAsia="zh-CN"/>
        </w:rPr>
        <w:t>附</w:t>
      </w:r>
      <w:r>
        <w:rPr>
          <w:rFonts w:hint="eastAsia" w:ascii="Times New Roman" w:hAnsi="Times New Roman" w:eastAsia="仿宋" w:cs="Times New Roman"/>
          <w:b w:val="0"/>
          <w:bCs w:val="0"/>
          <w:color w:val="auto"/>
          <w:sz w:val="32"/>
          <w:szCs w:val="32"/>
          <w:highlight w:val="none"/>
          <w:lang w:val="en-US" w:eastAsia="zh-CN"/>
        </w:rPr>
        <w:t>件：</w:t>
      </w:r>
      <w:r>
        <w:rPr>
          <w:rFonts w:hint="eastAsia" w:ascii="Times New Roman" w:hAnsi="Times New Roman" w:eastAsia="仿宋" w:cs="Times New Roman"/>
          <w:b w:val="0"/>
          <w:bCs w:val="0"/>
          <w:snapToGrid/>
          <w:color w:val="auto"/>
          <w:spacing w:val="0"/>
          <w:kern w:val="0"/>
          <w:sz w:val="32"/>
          <w:szCs w:val="32"/>
          <w:highlight w:val="none"/>
          <w:lang w:val="en-US" w:eastAsia="zh-CN"/>
          <w14:ligatures w14:val="standardContextual"/>
        </w:rPr>
        <w:t>1.</w:t>
      </w:r>
      <w:r>
        <w:rPr>
          <w:rFonts w:hint="eastAsia" w:ascii="Times New Roman" w:hAnsi="Times New Roman" w:eastAsia="仿宋" w:cs="Times New Roman"/>
          <w:b w:val="0"/>
          <w:bCs w:val="0"/>
          <w:color w:val="auto"/>
          <w:sz w:val="32"/>
          <w:szCs w:val="32"/>
          <w:highlight w:val="none"/>
          <w:lang w:val="en-US" w:eastAsia="zh-CN"/>
        </w:rPr>
        <w:t>巴南区</w:t>
      </w:r>
      <w:r>
        <w:rPr>
          <w:rFonts w:hint="default" w:ascii="Times New Roman" w:hAnsi="Times New Roman" w:eastAsia="仿宋" w:cs="Times New Roman"/>
          <w:b w:val="0"/>
          <w:bCs w:val="0"/>
          <w:color w:val="auto"/>
          <w:sz w:val="32"/>
          <w:szCs w:val="32"/>
          <w:highlight w:val="none"/>
          <w:lang w:val="en-US" w:eastAsia="en-US"/>
        </w:rPr>
        <w:t>一般工</w:t>
      </w:r>
      <w:r>
        <w:rPr>
          <w:rFonts w:hint="eastAsia" w:ascii="Times New Roman" w:hAnsi="Times New Roman" w:eastAsia="仿宋" w:cs="Times New Roman"/>
          <w:b w:val="0"/>
          <w:bCs w:val="0"/>
          <w:color w:val="auto"/>
          <w:sz w:val="32"/>
          <w:szCs w:val="32"/>
          <w:highlight w:val="none"/>
          <w:lang w:val="en-US" w:eastAsia="zh-CN"/>
        </w:rPr>
        <w:t>业固体废物规范化环境管理评估表</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1600" w:firstLineChars="500"/>
        <w:jc w:val="both"/>
        <w:textAlignment w:val="auto"/>
        <w:rPr>
          <w:rFonts w:hint="eastAsia" w:ascii="Times New Roman" w:hAnsi="Times New Roman" w:eastAsia="仿宋" w:cs="Times New Roman"/>
          <w:b w:val="0"/>
          <w:bCs w:val="0"/>
          <w:color w:val="auto"/>
          <w:sz w:val="32"/>
          <w:szCs w:val="32"/>
          <w:highlight w:val="none"/>
          <w:lang w:val="en-US" w:eastAsia="zh-CN"/>
        </w:rPr>
      </w:pPr>
      <w:r>
        <w:rPr>
          <w:rFonts w:hint="eastAsia" w:ascii="Times New Roman" w:hAnsi="Times New Roman" w:eastAsia="仿宋" w:cs="Times New Roman"/>
          <w:b w:val="0"/>
          <w:bCs w:val="0"/>
          <w:snapToGrid/>
          <w:color w:val="auto"/>
          <w:spacing w:val="0"/>
          <w:kern w:val="0"/>
          <w:sz w:val="32"/>
          <w:szCs w:val="32"/>
          <w:highlight w:val="none"/>
          <w:lang w:val="en-US" w:eastAsia="zh-CN"/>
          <w14:ligatures w14:val="standardContextual"/>
        </w:rPr>
        <w:t xml:space="preserve">2. </w:t>
      </w:r>
      <w:r>
        <w:rPr>
          <w:rFonts w:hint="eastAsia" w:ascii="Times New Roman" w:hAnsi="Times New Roman" w:eastAsia="仿宋" w:cs="Times New Roman"/>
          <w:b w:val="0"/>
          <w:bCs w:val="0"/>
          <w:snapToGrid/>
          <w:color w:val="auto"/>
          <w:spacing w:val="0"/>
          <w:kern w:val="0"/>
          <w:sz w:val="32"/>
          <w:szCs w:val="32"/>
          <w:highlight w:val="none"/>
          <w:lang w:val="en-US" w:eastAsia="zh-CN" w:bidi="ar"/>
          <w14:ligatures w14:val="standardContextual"/>
        </w:rPr>
        <w:t>被评估单位情况记录表</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1600" w:firstLineChars="500"/>
        <w:jc w:val="both"/>
        <w:textAlignment w:val="auto"/>
        <w:rPr>
          <w:rFonts w:hint="default" w:ascii="Times New Roman" w:hAnsi="Times New Roman" w:eastAsia="仿宋" w:cs="Times New Roman"/>
          <w:b w:val="0"/>
          <w:bCs w:val="0"/>
          <w:color w:val="auto"/>
          <w:sz w:val="32"/>
          <w:szCs w:val="32"/>
          <w:highlight w:val="none"/>
          <w:lang w:val="en-US" w:eastAsia="zh-CN"/>
        </w:rPr>
      </w:pPr>
      <w:r>
        <w:rPr>
          <w:rFonts w:hint="eastAsia" w:ascii="Times New Roman" w:hAnsi="Times New Roman" w:eastAsia="仿宋" w:cs="Times New Roman"/>
          <w:b w:val="0"/>
          <w:bCs w:val="0"/>
          <w:color w:val="auto"/>
          <w:sz w:val="32"/>
          <w:szCs w:val="32"/>
          <w:highlight w:val="none"/>
          <w:lang w:val="en-US" w:eastAsia="zh-CN"/>
        </w:rPr>
        <w:t>3. 一般工业</w:t>
      </w:r>
      <w:r>
        <w:rPr>
          <w:rFonts w:hint="default" w:ascii="Times New Roman" w:hAnsi="Times New Roman" w:eastAsia="仿宋" w:cs="Times New Roman"/>
          <w:b w:val="0"/>
          <w:bCs w:val="0"/>
          <w:color w:val="auto"/>
          <w:sz w:val="32"/>
          <w:szCs w:val="32"/>
          <w:highlight w:val="none"/>
          <w:lang w:val="en-US" w:eastAsia="zh-CN"/>
        </w:rPr>
        <w:t>固体废物</w:t>
      </w:r>
      <w:r>
        <w:rPr>
          <w:rFonts w:hint="eastAsia" w:ascii="Times New Roman" w:hAnsi="Times New Roman" w:eastAsia="仿宋" w:cs="Times New Roman"/>
          <w:b w:val="0"/>
          <w:bCs w:val="0"/>
          <w:color w:val="auto"/>
          <w:sz w:val="32"/>
          <w:szCs w:val="32"/>
          <w:highlight w:val="none"/>
          <w:lang w:val="en-US" w:eastAsia="zh-CN"/>
        </w:rPr>
        <w:t>规范化环境管理操作指南</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1600" w:firstLineChars="500"/>
        <w:jc w:val="both"/>
        <w:textAlignment w:val="auto"/>
        <w:rPr>
          <w:rFonts w:hint="eastAsia" w:ascii="Times New Roman" w:hAnsi="Times New Roman" w:eastAsia="仿宋" w:cs="Times New Roman"/>
          <w:b w:val="0"/>
          <w:bCs w:val="0"/>
          <w:color w:val="auto"/>
          <w:spacing w:val="-11"/>
          <w:sz w:val="32"/>
          <w:szCs w:val="32"/>
          <w:highlight w:val="none"/>
          <w:lang w:val="en-US" w:eastAsia="zh-CN"/>
        </w:rPr>
      </w:pPr>
      <w:r>
        <w:rPr>
          <w:rFonts w:hint="eastAsia" w:ascii="Times New Roman" w:hAnsi="Times New Roman" w:eastAsia="仿宋" w:cs="Times New Roman"/>
          <w:b w:val="0"/>
          <w:bCs w:val="0"/>
          <w:color w:val="auto"/>
          <w:sz w:val="32"/>
          <w:szCs w:val="32"/>
          <w:highlight w:val="none"/>
          <w:lang w:val="en-US" w:eastAsia="zh-CN"/>
        </w:rPr>
        <w:t>4.</w:t>
      </w:r>
      <w:r>
        <w:rPr>
          <w:rFonts w:hint="default" w:ascii="Times New Roman" w:hAnsi="Times New Roman" w:eastAsia="仿宋" w:cs="Times New Roman"/>
          <w:b w:val="0"/>
          <w:bCs w:val="0"/>
          <w:color w:val="auto"/>
          <w:spacing w:val="-11"/>
          <w:sz w:val="32"/>
          <w:szCs w:val="32"/>
          <w:highlight w:val="none"/>
          <w:lang w:val="en-US" w:eastAsia="zh-CN"/>
        </w:rPr>
        <w:t>一般工业固体废物</w:t>
      </w:r>
      <w:r>
        <w:rPr>
          <w:rFonts w:hint="eastAsia" w:ascii="Times New Roman" w:hAnsi="Times New Roman" w:eastAsia="仿宋" w:cs="Times New Roman"/>
          <w:b w:val="0"/>
          <w:bCs w:val="0"/>
          <w:color w:val="auto"/>
          <w:spacing w:val="-11"/>
          <w:sz w:val="32"/>
          <w:szCs w:val="32"/>
          <w:highlight w:val="none"/>
          <w:lang w:val="en-US" w:eastAsia="zh-CN"/>
        </w:rPr>
        <w:t>台账管理要求及台账</w:t>
      </w:r>
      <w:r>
        <w:rPr>
          <w:rFonts w:hint="default" w:ascii="Times New Roman" w:hAnsi="Times New Roman" w:eastAsia="仿宋" w:cs="Times New Roman"/>
          <w:b w:val="0"/>
          <w:bCs w:val="0"/>
          <w:color w:val="auto"/>
          <w:spacing w:val="-11"/>
          <w:sz w:val="32"/>
          <w:szCs w:val="32"/>
          <w:highlight w:val="none"/>
          <w:lang w:val="en-US" w:eastAsia="zh-CN"/>
        </w:rPr>
        <w:t>记录</w:t>
      </w:r>
      <w:r>
        <w:rPr>
          <w:rFonts w:hint="eastAsia" w:ascii="Times New Roman" w:hAnsi="Times New Roman" w:eastAsia="仿宋" w:cs="Times New Roman"/>
          <w:b w:val="0"/>
          <w:bCs w:val="0"/>
          <w:color w:val="auto"/>
          <w:spacing w:val="-11"/>
          <w:sz w:val="32"/>
          <w:szCs w:val="32"/>
          <w:highlight w:val="none"/>
          <w:lang w:val="en-US" w:eastAsia="zh-CN"/>
        </w:rPr>
        <w:t>（</w:t>
      </w:r>
      <w:r>
        <w:rPr>
          <w:rFonts w:hint="default" w:ascii="Times New Roman" w:hAnsi="Times New Roman" w:eastAsia="仿宋" w:cs="Times New Roman"/>
          <w:b w:val="0"/>
          <w:bCs w:val="0"/>
          <w:color w:val="auto"/>
          <w:spacing w:val="-11"/>
          <w:sz w:val="32"/>
          <w:szCs w:val="32"/>
          <w:highlight w:val="none"/>
          <w:lang w:val="en-US" w:eastAsia="zh-CN"/>
        </w:rPr>
        <w:t>模板</w:t>
      </w:r>
      <w:r>
        <w:rPr>
          <w:rFonts w:hint="eastAsia" w:ascii="Times New Roman" w:hAnsi="Times New Roman" w:eastAsia="仿宋" w:cs="Times New Roman"/>
          <w:b w:val="0"/>
          <w:bCs w:val="0"/>
          <w:color w:val="auto"/>
          <w:spacing w:val="-11"/>
          <w:sz w:val="32"/>
          <w:szCs w:val="32"/>
          <w:highlight w:val="none"/>
          <w:lang w:val="en-US" w:eastAsia="zh-CN"/>
        </w:rPr>
        <w:t>）</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1600" w:firstLineChars="500"/>
        <w:jc w:val="both"/>
        <w:textAlignment w:val="auto"/>
        <w:rPr>
          <w:rFonts w:hint="default" w:ascii="Times New Roman" w:hAnsi="Times New Roman" w:eastAsia="仿宋" w:cs="Times New Roman"/>
          <w:b w:val="0"/>
          <w:bCs w:val="0"/>
          <w:color w:val="auto"/>
          <w:sz w:val="32"/>
          <w:szCs w:val="32"/>
          <w:highlight w:val="none"/>
          <w:lang w:val="en-US" w:eastAsia="zh-CN"/>
        </w:rPr>
      </w:pPr>
      <w:r>
        <w:rPr>
          <w:rFonts w:hint="eastAsia" w:ascii="Times New Roman" w:hAnsi="Times New Roman" w:eastAsia="仿宋" w:cs="Times New Roman"/>
          <w:b w:val="0"/>
          <w:bCs w:val="0"/>
          <w:color w:val="auto"/>
          <w:sz w:val="32"/>
          <w:szCs w:val="32"/>
          <w:highlight w:val="none"/>
          <w:lang w:val="en-US" w:eastAsia="zh-CN"/>
        </w:rPr>
        <w:t>5.</w:t>
      </w:r>
      <w:r>
        <w:rPr>
          <w:rFonts w:hint="default" w:ascii="Times New Roman" w:hAnsi="Times New Roman" w:eastAsia="仿宋" w:cs="Times New Roman"/>
          <w:b w:val="0"/>
          <w:bCs w:val="0"/>
          <w:color w:val="auto"/>
          <w:sz w:val="32"/>
          <w:szCs w:val="32"/>
          <w:highlight w:val="none"/>
          <w:lang w:val="en-US" w:eastAsia="en-US"/>
        </w:rPr>
        <w:t>一般工业固体废物转移处置委托合同</w:t>
      </w:r>
      <w:r>
        <w:rPr>
          <w:rFonts w:hint="eastAsia" w:ascii="Times New Roman" w:hAnsi="Times New Roman" w:eastAsia="仿宋" w:cs="Times New Roman"/>
          <w:b w:val="0"/>
          <w:bCs w:val="0"/>
          <w:color w:val="auto"/>
          <w:sz w:val="32"/>
          <w:szCs w:val="32"/>
          <w:highlight w:val="none"/>
          <w:lang w:val="en-US" w:eastAsia="zh-CN"/>
        </w:rPr>
        <w:t>（</w:t>
      </w:r>
      <w:r>
        <w:rPr>
          <w:rFonts w:hint="default" w:ascii="Times New Roman" w:hAnsi="Times New Roman" w:eastAsia="仿宋" w:cs="Times New Roman"/>
          <w:b w:val="0"/>
          <w:bCs w:val="0"/>
          <w:color w:val="auto"/>
          <w:sz w:val="32"/>
          <w:szCs w:val="32"/>
          <w:highlight w:val="none"/>
          <w:lang w:val="en-US" w:eastAsia="en-US"/>
        </w:rPr>
        <w:t>模板</w:t>
      </w:r>
      <w:r>
        <w:rPr>
          <w:rFonts w:hint="eastAsia" w:ascii="Times New Roman" w:hAnsi="Times New Roman" w:eastAsia="仿宋" w:cs="Times New Roman"/>
          <w:b w:val="0"/>
          <w:bCs w:val="0"/>
          <w:color w:val="auto"/>
          <w:sz w:val="32"/>
          <w:szCs w:val="32"/>
          <w:highlight w:val="none"/>
          <w:lang w:val="en-US" w:eastAsia="zh-CN"/>
        </w:rPr>
        <w:t>）</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right="0"/>
        <w:jc w:val="both"/>
        <w:textAlignment w:val="auto"/>
        <w:rPr>
          <w:rFonts w:hint="default" w:ascii="Times New Roman" w:hAnsi="Times New Roman" w:eastAsia="仿宋" w:cs="Times New Roman"/>
          <w:b w:val="0"/>
          <w:bCs w:val="0"/>
          <w:color w:val="auto"/>
          <w:sz w:val="32"/>
          <w:szCs w:val="32"/>
          <w:highlight w:val="none"/>
          <w:lang w:val="en-US" w:eastAsia="zh-CN"/>
        </w:rPr>
      </w:pP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 w:cs="Times New Roman"/>
          <w:b w:val="0"/>
          <w:bCs w:val="0"/>
          <w:color w:val="auto"/>
          <w:sz w:val="32"/>
          <w:szCs w:val="32"/>
          <w:highlight w:val="none"/>
          <w:lang w:val="en-US" w:eastAsia="zh-CN"/>
        </w:rPr>
        <w:sectPr>
          <w:footerReference r:id="rId4" w:type="default"/>
          <w:pgSz w:w="11906" w:h="16838"/>
          <w:pgMar w:top="2098" w:right="1531" w:bottom="1984" w:left="1531" w:header="851" w:footer="1474" w:gutter="0"/>
          <w:paperSrc/>
          <w:pgBorders>
            <w:top w:val="none" w:sz="0" w:space="0"/>
            <w:left w:val="none" w:sz="0" w:space="0"/>
            <w:bottom w:val="none" w:sz="0" w:space="0"/>
            <w:right w:val="none" w:sz="0" w:space="0"/>
          </w:pgBorders>
          <w:pgNumType w:fmt="numberInDash"/>
          <w:cols w:space="0" w:num="1"/>
          <w:rtlGutter w:val="0"/>
          <w:docGrid w:type="lines" w:linePitch="312" w:charSpace="0"/>
        </w:sectPr>
      </w:pPr>
    </w:p>
    <w:p>
      <w:pPr>
        <w:keepNext w:val="0"/>
        <w:keepLines w:val="0"/>
        <w:pageBreakBefore w:val="0"/>
        <w:widowControl/>
        <w:kinsoku w:val="0"/>
        <w:wordWrap/>
        <w:overflowPunct/>
        <w:topLinePunct w:val="0"/>
        <w:autoSpaceDE w:val="0"/>
        <w:autoSpaceDN w:val="0"/>
        <w:bidi w:val="0"/>
        <w:adjustRightInd w:val="0"/>
        <w:snapToGrid w:val="0"/>
        <w:spacing w:line="560" w:lineRule="exact"/>
        <w:ind w:left="0"/>
        <w:jc w:val="left"/>
        <w:textAlignment w:val="baseline"/>
        <w:outlineLvl w:val="9"/>
        <w:rPr>
          <w:rFonts w:hint="eastAsia" w:ascii="方正黑体_GBK" w:hAnsi="方正黑体_GBK" w:eastAsia="方正黑体_GBK" w:cs="方正黑体_GBK"/>
          <w:b w:val="0"/>
          <w:bCs w:val="0"/>
          <w:snapToGrid w:val="0"/>
          <w:color w:val="auto"/>
          <w:spacing w:val="-3"/>
          <w:kern w:val="0"/>
          <w:sz w:val="32"/>
          <w:szCs w:val="32"/>
          <w:highlight w:val="none"/>
          <w:lang w:eastAsia="zh-CN"/>
          <w14:ligatures w14:val="none"/>
        </w:rPr>
      </w:pPr>
      <w:r>
        <w:rPr>
          <w:rFonts w:hint="eastAsia" w:ascii="方正黑体_GBK" w:hAnsi="方正黑体_GBK" w:eastAsia="方正黑体_GBK" w:cs="方正黑体_GBK"/>
          <w:b w:val="0"/>
          <w:bCs w:val="0"/>
          <w:snapToGrid w:val="0"/>
          <w:color w:val="auto"/>
          <w:spacing w:val="-3"/>
          <w:kern w:val="0"/>
          <w:sz w:val="32"/>
          <w:szCs w:val="32"/>
          <w:highlight w:val="none"/>
          <w:lang w:eastAsia="en-US"/>
          <w14:ligatures w14:val="none"/>
        </w:rPr>
        <w:t>附</w:t>
      </w:r>
      <w:r>
        <w:rPr>
          <w:rFonts w:hint="eastAsia" w:ascii="方正黑体_GBK" w:hAnsi="方正黑体_GBK" w:eastAsia="方正黑体_GBK" w:cs="方正黑体_GBK"/>
          <w:b w:val="0"/>
          <w:bCs w:val="0"/>
          <w:color w:val="auto"/>
          <w:sz w:val="32"/>
          <w:szCs w:val="32"/>
          <w:highlight w:val="none"/>
          <w:lang w:val="en-US" w:eastAsia="zh-CN"/>
        </w:rPr>
        <w:t>件</w:t>
      </w:r>
      <w:r>
        <w:rPr>
          <w:rFonts w:hint="eastAsia" w:ascii="方正黑体_GBK" w:hAnsi="方正黑体_GBK" w:eastAsia="方正黑体_GBK" w:cs="方正黑体_GBK"/>
          <w:b w:val="0"/>
          <w:bCs w:val="0"/>
          <w:snapToGrid w:val="0"/>
          <w:color w:val="auto"/>
          <w:spacing w:val="-3"/>
          <w:kern w:val="0"/>
          <w:sz w:val="32"/>
          <w:szCs w:val="32"/>
          <w:highlight w:val="none"/>
          <w:lang w:val="en-US" w:eastAsia="zh-CN"/>
          <w14:ligatures w14:val="none"/>
        </w:rPr>
        <w:t>1</w:t>
      </w: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outlineLvl w:val="9"/>
        <w:rPr>
          <w:rFonts w:hint="eastAsia" w:ascii="方正小标宋_GBK" w:hAnsi="方正小标宋_GBK" w:eastAsia="方正小标宋_GBK" w:cs="方正小标宋_GBK"/>
          <w:b w:val="0"/>
          <w:bCs w:val="0"/>
          <w:snapToGrid w:val="0"/>
          <w:color w:val="auto"/>
          <w:spacing w:val="7"/>
          <w:kern w:val="0"/>
          <w:sz w:val="44"/>
          <w:szCs w:val="44"/>
          <w:highlight w:val="none"/>
          <w:lang w:val="en-US" w:eastAsia="en-US" w:bidi="ar"/>
          <w14:ligatures w14:val="none"/>
        </w:rPr>
      </w:pPr>
      <w:r>
        <w:rPr>
          <w:rFonts w:hint="eastAsia" w:ascii="方正小标宋_GBK" w:hAnsi="方正小标宋_GBK" w:eastAsia="方正小标宋_GBK" w:cs="方正小标宋_GBK"/>
          <w:b w:val="0"/>
          <w:bCs w:val="0"/>
          <w:snapToGrid w:val="0"/>
          <w:color w:val="auto"/>
          <w:spacing w:val="7"/>
          <w:kern w:val="0"/>
          <w:sz w:val="44"/>
          <w:szCs w:val="44"/>
          <w:highlight w:val="none"/>
          <w:lang w:val="en-US" w:eastAsia="en-US" w:bidi="ar"/>
          <w14:ligatures w14:val="none"/>
        </w:rPr>
        <w:t>巴南区</w:t>
      </w:r>
      <w:r>
        <w:rPr>
          <w:rFonts w:hint="eastAsia" w:ascii="方正小标宋_GBK" w:hAnsi="方正小标宋_GBK" w:eastAsia="方正小标宋_GBK" w:cs="方正小标宋_GBK"/>
          <w:b w:val="0"/>
          <w:bCs w:val="0"/>
          <w:snapToGrid w:val="0"/>
          <w:color w:val="auto"/>
          <w:spacing w:val="7"/>
          <w:kern w:val="0"/>
          <w:sz w:val="44"/>
          <w:szCs w:val="44"/>
          <w:highlight w:val="none"/>
          <w:lang w:eastAsia="en-US" w:bidi="ar"/>
          <w14:ligatures w14:val="none"/>
        </w:rPr>
        <w:t>一般工业固体废物</w:t>
      </w:r>
      <w:r>
        <w:rPr>
          <w:rFonts w:hint="eastAsia" w:ascii="方正小标宋_GBK" w:hAnsi="方正小标宋_GBK" w:eastAsia="方正小标宋_GBK" w:cs="方正小标宋_GBK"/>
          <w:b w:val="0"/>
          <w:bCs w:val="0"/>
          <w:snapToGrid w:val="0"/>
          <w:color w:val="auto"/>
          <w:spacing w:val="7"/>
          <w:kern w:val="0"/>
          <w:sz w:val="44"/>
          <w:szCs w:val="44"/>
          <w:highlight w:val="none"/>
          <w:lang w:val="en-US" w:eastAsia="zh-CN" w:bidi="ar"/>
          <w14:ligatures w14:val="none"/>
        </w:rPr>
        <w:t>产生单位</w:t>
      </w:r>
      <w:r>
        <w:rPr>
          <w:rFonts w:hint="eastAsia" w:ascii="方正小标宋_GBK" w:hAnsi="方正小标宋_GBK" w:eastAsia="方正小标宋_GBK" w:cs="方正小标宋_GBK"/>
          <w:b w:val="0"/>
          <w:bCs w:val="0"/>
          <w:snapToGrid w:val="0"/>
          <w:color w:val="auto"/>
          <w:spacing w:val="7"/>
          <w:kern w:val="0"/>
          <w:sz w:val="44"/>
          <w:szCs w:val="44"/>
          <w:highlight w:val="none"/>
          <w:lang w:eastAsia="en-US" w:bidi="ar"/>
          <w14:ligatures w14:val="none"/>
        </w:rPr>
        <w:t>规范化环境管理</w:t>
      </w:r>
      <w:r>
        <w:rPr>
          <w:rFonts w:hint="eastAsia" w:ascii="方正小标宋_GBK" w:hAnsi="方正小标宋_GBK" w:eastAsia="方正小标宋_GBK" w:cs="方正小标宋_GBK"/>
          <w:b w:val="0"/>
          <w:bCs w:val="0"/>
          <w:snapToGrid w:val="0"/>
          <w:color w:val="auto"/>
          <w:spacing w:val="7"/>
          <w:kern w:val="0"/>
          <w:sz w:val="44"/>
          <w:szCs w:val="44"/>
          <w:highlight w:val="none"/>
          <w:lang w:val="en-US" w:eastAsia="en-US" w:bidi="ar"/>
          <w14:ligatures w14:val="none"/>
        </w:rPr>
        <w:t>评估表</w:t>
      </w:r>
    </w:p>
    <w:tbl>
      <w:tblPr>
        <w:tblStyle w:val="18"/>
        <w:tblW w:w="141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30"/>
        <w:gridCol w:w="1116"/>
        <w:gridCol w:w="665"/>
        <w:gridCol w:w="696"/>
        <w:gridCol w:w="978"/>
        <w:gridCol w:w="161"/>
        <w:gridCol w:w="7057"/>
        <w:gridCol w:w="1119"/>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blHeader/>
          <w:jc w:val="center"/>
        </w:trPr>
        <w:tc>
          <w:tcPr>
            <w:tcW w:w="1630"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管理制度</w:t>
            </w:r>
          </w:p>
        </w:tc>
        <w:tc>
          <w:tcPr>
            <w:tcW w:w="1116"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评估内容</w:t>
            </w:r>
          </w:p>
        </w:tc>
        <w:tc>
          <w:tcPr>
            <w:tcW w:w="1361" w:type="dxa"/>
            <w:gridSpan w:val="2"/>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分数</w:t>
            </w:r>
          </w:p>
        </w:tc>
        <w:tc>
          <w:tcPr>
            <w:tcW w:w="1139" w:type="dxa"/>
            <w:gridSpan w:val="2"/>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评估标准</w:t>
            </w:r>
          </w:p>
        </w:tc>
        <w:tc>
          <w:tcPr>
            <w:tcW w:w="7057"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评分细则</w:t>
            </w:r>
          </w:p>
        </w:tc>
        <w:tc>
          <w:tcPr>
            <w:tcW w:w="1119"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检查方法</w:t>
            </w:r>
          </w:p>
        </w:tc>
        <w:tc>
          <w:tcPr>
            <w:tcW w:w="680"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blHeader/>
          <w:jc w:val="center"/>
        </w:trPr>
        <w:tc>
          <w:tcPr>
            <w:tcW w:w="1630" w:type="dxa"/>
            <w:vMerge w:val="continue"/>
            <w:shd w:val="clear" w:color="auto" w:fill="auto"/>
          </w:tcPr>
          <w:p>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p>
        </w:tc>
        <w:tc>
          <w:tcPr>
            <w:tcW w:w="1116" w:type="dxa"/>
            <w:vMerge w:val="continue"/>
            <w:shd w:val="clear" w:color="auto" w:fill="auto"/>
          </w:tcPr>
          <w:p>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p>
        </w:tc>
        <w:tc>
          <w:tcPr>
            <w:tcW w:w="665" w:type="dxa"/>
            <w:shd w:val="clear" w:color="auto" w:fill="auto"/>
          </w:tcPr>
          <w:p>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满分</w:t>
            </w:r>
          </w:p>
        </w:tc>
        <w:tc>
          <w:tcPr>
            <w:tcW w:w="696" w:type="dxa"/>
            <w:shd w:val="clear" w:color="auto" w:fill="auto"/>
          </w:tcPr>
          <w:p>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得分</w:t>
            </w:r>
          </w:p>
        </w:tc>
        <w:tc>
          <w:tcPr>
            <w:tcW w:w="1139" w:type="dxa"/>
            <w:gridSpan w:val="2"/>
            <w:vMerge w:val="continue"/>
            <w:shd w:val="clear" w:color="auto" w:fill="auto"/>
          </w:tcPr>
          <w:p>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p>
        </w:tc>
        <w:tc>
          <w:tcPr>
            <w:tcW w:w="7057" w:type="dxa"/>
            <w:vMerge w:val="continue"/>
            <w:shd w:val="clear" w:color="auto" w:fill="auto"/>
          </w:tcPr>
          <w:p>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p>
        </w:tc>
        <w:tc>
          <w:tcPr>
            <w:tcW w:w="1119" w:type="dxa"/>
            <w:vMerge w:val="continue"/>
            <w:shd w:val="clear" w:color="auto" w:fill="auto"/>
          </w:tcPr>
          <w:p>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p>
        </w:tc>
        <w:tc>
          <w:tcPr>
            <w:tcW w:w="680" w:type="dxa"/>
            <w:vMerge w:val="continue"/>
            <w:shd w:val="clear" w:color="auto" w:fill="auto"/>
          </w:tcPr>
          <w:p>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90" w:hRule="atLeast"/>
          <w:jc w:val="center"/>
        </w:trPr>
        <w:tc>
          <w:tcPr>
            <w:tcW w:w="1630"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eastAsia="en-US"/>
                <w14:ligatures w14:val="none"/>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一、环境影响评价制度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《中华人民共和国固体废物污染环境防治法》，以下简称《固废法》</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，第十七条、第十八条）</w:t>
            </w:r>
          </w:p>
        </w:tc>
        <w:tc>
          <w:tcPr>
            <w:tcW w:w="1116"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1.产废单位依法进行环境影响评价，完成“三同时”验收</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w:t>
            </w:r>
          </w:p>
        </w:tc>
        <w:tc>
          <w:tcPr>
            <w:tcW w:w="665"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2</w:t>
            </w:r>
          </w:p>
        </w:tc>
        <w:tc>
          <w:tcPr>
            <w:tcW w:w="696"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p>
        </w:tc>
        <w:tc>
          <w:tcPr>
            <w:tcW w:w="1139" w:type="dxa"/>
            <w:gridSpan w:val="2"/>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有环评材料，且材料中对一般工业固废的信息描述完整。完成</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“三同时”</w:t>
            </w: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验收。</w:t>
            </w:r>
          </w:p>
        </w:tc>
        <w:tc>
          <w:tcPr>
            <w:tcW w:w="7057"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1.满足以下条件之一的，得1分：</w:t>
            </w:r>
          </w:p>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（a）</w:t>
            </w:r>
            <w:r>
              <w:rPr>
                <w:rFonts w:hint="eastAsia" w:ascii="方正仿宋_GBK" w:hAnsi="方正仿宋_GBK" w:eastAsia="方正仿宋_GBK" w:cs="方正仿宋_GBK"/>
                <w:b w:val="0"/>
                <w:bCs w:val="0"/>
                <w:snapToGrid w:val="0"/>
                <w:color w:val="auto"/>
                <w:spacing w:val="-5"/>
                <w:kern w:val="0"/>
                <w:sz w:val="21"/>
                <w:szCs w:val="21"/>
                <w:highlight w:val="none"/>
                <w:lang w:eastAsia="en-US"/>
              </w:rPr>
              <w:t>编制环境影响报告书、环境影响报告表的建设项目</w:t>
            </w:r>
            <w:r>
              <w:rPr>
                <w:rFonts w:hint="eastAsia" w:ascii="方正仿宋_GBK" w:hAnsi="方正仿宋_GBK" w:eastAsia="方正仿宋_GBK" w:cs="方正仿宋_GBK"/>
                <w:b w:val="0"/>
                <w:bCs w:val="0"/>
                <w:snapToGrid w:val="0"/>
                <w:color w:val="auto"/>
                <w:spacing w:val="-5"/>
                <w:kern w:val="0"/>
                <w:sz w:val="21"/>
                <w:szCs w:val="21"/>
                <w:highlight w:val="none"/>
                <w:lang w:eastAsia="zh-CN"/>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rPr>
              <w:t>在</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环境影响评价文件</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中明确</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一般工业固体废物的种类、</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（代码）、</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名称、年度产生量、利用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/处置</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方式和去向</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以及</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环境管理要求</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p>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（b）</w:t>
            </w:r>
            <w:r>
              <w:rPr>
                <w:rFonts w:hint="eastAsia" w:ascii="方正仿宋_GBK" w:hAnsi="方正仿宋_GBK" w:eastAsia="方正仿宋_GBK" w:cs="方正仿宋_GBK"/>
                <w:b w:val="0"/>
                <w:bCs w:val="0"/>
                <w:snapToGrid w:val="0"/>
                <w:color w:val="auto"/>
                <w:spacing w:val="-5"/>
                <w:kern w:val="0"/>
                <w:sz w:val="21"/>
                <w:szCs w:val="21"/>
                <w:highlight w:val="none"/>
                <w:lang w:eastAsia="en-US"/>
              </w:rPr>
              <w:t>填报环境影响登记表的建设项目，</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rPr>
              <w:t>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采取的环保措施及排放去向</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部分，载明一般工业固体废物的种类及最终流向。</w:t>
            </w:r>
          </w:p>
        </w:tc>
        <w:tc>
          <w:tcPr>
            <w:tcW w:w="1119"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资料检查（查看环评及批复文件、验收报告等）</w:t>
            </w:r>
          </w:p>
        </w:tc>
        <w:tc>
          <w:tcPr>
            <w:tcW w:w="680"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90" w:hRule="atLeast"/>
          <w:jc w:val="center"/>
        </w:trPr>
        <w:tc>
          <w:tcPr>
            <w:tcW w:w="1630"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eastAsia="en-US"/>
                <w14:ligatures w14:val="none"/>
              </w:rPr>
            </w:pPr>
          </w:p>
        </w:tc>
        <w:tc>
          <w:tcPr>
            <w:tcW w:w="1116"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tc>
        <w:tc>
          <w:tcPr>
            <w:tcW w:w="665"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eastAsia="en-US"/>
                <w14:ligatures w14:val="none"/>
              </w:rPr>
            </w:pPr>
          </w:p>
        </w:tc>
        <w:tc>
          <w:tcPr>
            <w:tcW w:w="696"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eastAsia="en-US"/>
                <w14:ligatures w14:val="none"/>
              </w:rPr>
            </w:pPr>
          </w:p>
        </w:tc>
        <w:tc>
          <w:tcPr>
            <w:tcW w:w="1139" w:type="dxa"/>
            <w:gridSpan w:val="2"/>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eastAsia="en-US"/>
                <w14:ligatures w14:val="none"/>
              </w:rPr>
            </w:pPr>
          </w:p>
        </w:tc>
        <w:tc>
          <w:tcPr>
            <w:tcW w:w="7057"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2.</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在环境影响评价文件</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中</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明确配套建设</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一般固体废物贮存、利用、处置设施的环境保护标准</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，并依据相关标准</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分析</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了相关</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设施</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建设</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的可行性。</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得0.5分。</w:t>
            </w:r>
          </w:p>
        </w:tc>
        <w:tc>
          <w:tcPr>
            <w:tcW w:w="1119"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eastAsia="en-US"/>
                <w14:ligatures w14:val="none"/>
              </w:rPr>
            </w:pPr>
          </w:p>
        </w:tc>
        <w:tc>
          <w:tcPr>
            <w:tcW w:w="680"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eastAsia="en-US"/>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90" w:hRule="atLeast"/>
          <w:jc w:val="center"/>
        </w:trPr>
        <w:tc>
          <w:tcPr>
            <w:tcW w:w="1630"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eastAsia="en-US"/>
                <w14:ligatures w14:val="none"/>
              </w:rPr>
            </w:pPr>
          </w:p>
        </w:tc>
        <w:tc>
          <w:tcPr>
            <w:tcW w:w="1116"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pPr>
          </w:p>
        </w:tc>
        <w:tc>
          <w:tcPr>
            <w:tcW w:w="665"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eastAsia="en-US"/>
                <w14:ligatures w14:val="none"/>
              </w:rPr>
            </w:pPr>
          </w:p>
        </w:tc>
        <w:tc>
          <w:tcPr>
            <w:tcW w:w="696"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eastAsia="en-US"/>
                <w14:ligatures w14:val="none"/>
              </w:rPr>
            </w:pPr>
          </w:p>
        </w:tc>
        <w:tc>
          <w:tcPr>
            <w:tcW w:w="1139" w:type="dxa"/>
            <w:gridSpan w:val="2"/>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eastAsia="en-US"/>
                <w14:ligatures w14:val="none"/>
              </w:rPr>
            </w:pPr>
          </w:p>
        </w:tc>
        <w:tc>
          <w:tcPr>
            <w:tcW w:w="7057"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3.完成</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“三同时”</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验收</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或在验收期限内。</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得0.5分。</w:t>
            </w:r>
          </w:p>
        </w:tc>
        <w:tc>
          <w:tcPr>
            <w:tcW w:w="1119"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eastAsia="en-US"/>
                <w14:ligatures w14:val="none"/>
              </w:rPr>
            </w:pPr>
          </w:p>
        </w:tc>
        <w:tc>
          <w:tcPr>
            <w:tcW w:w="680"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eastAsia="en-US"/>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379" w:hRule="atLeast"/>
          <w:jc w:val="center"/>
        </w:trPr>
        <w:tc>
          <w:tcPr>
            <w:tcW w:w="1630"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eastAsia="en-US"/>
                <w14:ligatures w14:val="none"/>
              </w:rPr>
            </w:pPr>
          </w:p>
        </w:tc>
        <w:tc>
          <w:tcPr>
            <w:tcW w:w="1116"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pPr>
          </w:p>
        </w:tc>
        <w:tc>
          <w:tcPr>
            <w:tcW w:w="665"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eastAsia="en-US"/>
                <w14:ligatures w14:val="none"/>
              </w:rPr>
            </w:pPr>
          </w:p>
        </w:tc>
        <w:tc>
          <w:tcPr>
            <w:tcW w:w="696"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eastAsia="en-US"/>
                <w14:ligatures w14:val="none"/>
              </w:rPr>
            </w:pPr>
          </w:p>
        </w:tc>
        <w:tc>
          <w:tcPr>
            <w:tcW w:w="1139" w:type="dxa"/>
            <w:gridSpan w:val="2"/>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eastAsia="en-US"/>
                <w14:ligatures w14:val="none"/>
              </w:rPr>
            </w:pPr>
          </w:p>
        </w:tc>
        <w:tc>
          <w:tcPr>
            <w:tcW w:w="7057"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注：（1）2024年1月22日后编制的环境影响评价文件应依据《固体废物分类与代码目录》（生态环境部公告2024年第4号）增加一般工业固废的废物代码。</w:t>
            </w:r>
          </w:p>
          <w:p>
            <w:pPr>
              <w:keepNext w:val="0"/>
              <w:keepLines w:val="0"/>
              <w:pageBreakBefore w:val="0"/>
              <w:widowControl/>
              <w:kinsoku/>
              <w:wordWrap/>
              <w:overflowPunct/>
              <w:topLinePunct w:val="0"/>
              <w:autoSpaceDE w:val="0"/>
              <w:autoSpaceDN w:val="0"/>
              <w:bidi w:val="0"/>
              <w:adjustRightInd w:val="0"/>
              <w:snapToGrid w:val="0"/>
              <w:spacing w:line="280" w:lineRule="exact"/>
              <w:ind w:left="0" w:right="0" w:firstLine="400" w:firstLineChars="20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（2）在《中华人民共和国环境影响评价法》实施（2003年9月1日）前已建成，又未发生改建、扩建的项目，若可提供开展“四清四治”专项行动的证明材料，本项制度评估得分记满分。</w:t>
            </w:r>
          </w:p>
        </w:tc>
        <w:tc>
          <w:tcPr>
            <w:tcW w:w="1119"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eastAsia="en-US"/>
                <w14:ligatures w14:val="none"/>
              </w:rPr>
            </w:pPr>
          </w:p>
        </w:tc>
        <w:tc>
          <w:tcPr>
            <w:tcW w:w="680"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eastAsia="en-US"/>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046" w:hRule="atLeast"/>
          <w:jc w:val="center"/>
        </w:trPr>
        <w:tc>
          <w:tcPr>
            <w:tcW w:w="1630"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firstLine="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二、排污许可制度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《固废法》第三十九条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《排污许可管理条例》（国务院令第736号）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《排污许可管理办法》（生态环境部令第32号）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《排污许可证申请与核发技术规范</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 xml:space="preserve"> </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工业固体废物（试行）》（HJ</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 xml:space="preserve"> </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1200）</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《关于开展工业固体废物排污许可管理工作的通知》（环办环评〔2021〕26号）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116"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2.排污单位</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按照《固定污染源排污许可分类管理名录》</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依法取得排污许可证</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或进行排污登记</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p>
        </w:tc>
        <w:tc>
          <w:tcPr>
            <w:tcW w:w="66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1</w:t>
            </w:r>
          </w:p>
        </w:tc>
        <w:tc>
          <w:tcPr>
            <w:tcW w:w="696"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p>
        </w:tc>
        <w:tc>
          <w:tcPr>
            <w:tcW w:w="1139" w:type="dxa"/>
            <w:gridSpan w:val="2"/>
            <w:vMerge w:val="restart"/>
            <w:shd w:val="clear" w:color="auto" w:fill="auto"/>
            <w:vAlign w:val="center"/>
          </w:tcPr>
          <w:p>
            <w:pPr>
              <w:keepNext w:val="0"/>
              <w:keepLines w:val="0"/>
              <w:pageBreakBefore w:val="0"/>
              <w:kinsoku/>
              <w:wordWrap/>
              <w:overflowPunct/>
              <w:topLinePunct w:val="0"/>
              <w:bidi w:val="0"/>
              <w:adjustRightInd w:val="0"/>
              <w:snapToGrid w:val="0"/>
              <w:spacing w:line="280" w:lineRule="exact"/>
              <w:ind w:left="0"/>
              <w:jc w:val="both"/>
              <w:outlineLvl w:val="9"/>
              <w:rPr>
                <w:rFonts w:hint="eastAsia" w:ascii="方正仿宋_GBK" w:hAnsi="方正仿宋_GBK" w:eastAsia="方正仿宋_GBK" w:cs="方正仿宋_GBK"/>
                <w:b w:val="0"/>
                <w:bCs w:val="0"/>
                <w:snapToGrid/>
                <w:color w:val="auto"/>
                <w:kern w:val="0"/>
                <w:sz w:val="21"/>
                <w:szCs w:val="21"/>
                <w:highlight w:val="none"/>
                <w:vertAlign w:val="baseline"/>
                <w:lang w:eastAsia="zh-CN" w:bidi="ar-SA"/>
                <w14:ligatures w14:val="none"/>
              </w:rPr>
            </w:pPr>
            <w:r>
              <w:rPr>
                <w:rFonts w:hint="eastAsia" w:ascii="方正仿宋_GBK" w:hAnsi="方正仿宋_GBK" w:eastAsia="方正仿宋_GBK" w:cs="方正仿宋_GBK"/>
                <w:b w:val="0"/>
                <w:bCs w:val="0"/>
                <w:snapToGrid/>
                <w:color w:val="auto"/>
                <w:sz w:val="21"/>
                <w:szCs w:val="21"/>
                <w:highlight w:val="none"/>
                <w:lang w:val="en-US" w:eastAsia="zh-CN"/>
                <w14:ligatures w14:val="none"/>
              </w:rPr>
              <w:t>按照HJ 1200和相关行业排污许可证申请与核发技术规范申领排污许可证，核发的排污许可证中载明一般工业固废的排放信息及环境管理要求。</w:t>
            </w:r>
          </w:p>
        </w:tc>
        <w:tc>
          <w:tcPr>
            <w:tcW w:w="7057"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1.（a）在排污许可证中如实申报并载明一般工业固体废物的排放信息。得1分。</w:t>
            </w:r>
          </w:p>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（b）载明的一般工业固体废物排放信息有1处错误。得0.5分。</w:t>
            </w:r>
          </w:p>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trike/>
                <w:snapToGrid w:val="0"/>
                <w:color w:val="auto"/>
                <w:spacing w:val="-5"/>
                <w:kern w:val="0"/>
                <w:sz w:val="21"/>
                <w:szCs w:val="21"/>
                <w:highlight w:val="none"/>
                <w:lang w:val="en-US" w:eastAsia="zh-CN"/>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（c）未申报一般工业固体废物排放，或填写排放信息有2处及以上错误。得0分。</w:t>
            </w:r>
          </w:p>
        </w:tc>
        <w:tc>
          <w:tcPr>
            <w:tcW w:w="1119"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en-US"/>
                <w14:ligatures w14:val="none"/>
              </w:rPr>
            </w:pP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资料检查（查看排污许可证副本；核查“全国排污许可证管理信息平台”填报记录）</w:t>
            </w:r>
          </w:p>
        </w:tc>
        <w:tc>
          <w:tcPr>
            <w:tcW w:w="680"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en-US"/>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183" w:hRule="atLeast"/>
          <w:jc w:val="center"/>
        </w:trPr>
        <w:tc>
          <w:tcPr>
            <w:tcW w:w="1630"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firstLine="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116"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tc>
        <w:tc>
          <w:tcPr>
            <w:tcW w:w="66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1</w:t>
            </w:r>
          </w:p>
        </w:tc>
        <w:tc>
          <w:tcPr>
            <w:tcW w:w="696"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p>
        </w:tc>
        <w:tc>
          <w:tcPr>
            <w:tcW w:w="1139" w:type="dxa"/>
            <w:gridSpan w:val="2"/>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pPr>
          </w:p>
        </w:tc>
        <w:tc>
          <w:tcPr>
            <w:tcW w:w="7057" w:type="dxa"/>
            <w:shd w:val="clear" w:color="auto" w:fill="auto"/>
            <w:vAlign w:val="center"/>
          </w:tcPr>
          <w:p>
            <w:pPr>
              <w:keepNext w:val="0"/>
              <w:keepLines w:val="0"/>
              <w:pageBreakBefore w:val="0"/>
              <w:kinsoku/>
              <w:wordWrap/>
              <w:overflowPunct/>
              <w:topLinePunct w:val="0"/>
              <w:bidi w:val="0"/>
              <w:spacing w:line="280" w:lineRule="exact"/>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2.</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2022年1月1日后首次申请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或由于</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有效期届满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及</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其他原因重新申请、变更</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排污许可证</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载明一般工业固体废物环境管理要求。</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得1分。</w:t>
            </w:r>
          </w:p>
          <w:p>
            <w:pPr>
              <w:keepNext w:val="0"/>
              <w:keepLines w:val="0"/>
              <w:pageBreakBefore w:val="0"/>
              <w:widowControl/>
              <w:kinsoku/>
              <w:wordWrap/>
              <w:overflowPunct/>
              <w:topLinePunct w:val="0"/>
              <w:autoSpaceDE/>
              <w:autoSpaceDN/>
              <w:bidi w:val="0"/>
              <w:adjustRightInd/>
              <w:snapToGrid/>
              <w:spacing w:line="280" w:lineRule="exact"/>
              <w:ind w:left="0" w:right="0"/>
              <w:jc w:val="left"/>
              <w:textAlignment w:val="auto"/>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p>
            <w:pPr>
              <w:keepNext w:val="0"/>
              <w:keepLines w:val="0"/>
              <w:pageBreakBefore w:val="0"/>
              <w:widowControl/>
              <w:kinsoku/>
              <w:wordWrap/>
              <w:overflowPunct/>
              <w:topLinePunct w:val="0"/>
              <w:autoSpaceDE/>
              <w:autoSpaceDN/>
              <w:bidi w:val="0"/>
              <w:adjustRightInd/>
              <w:snapToGrid/>
              <w:spacing w:line="280" w:lineRule="exact"/>
              <w:ind w:left="0" w:right="0"/>
              <w:jc w:val="left"/>
              <w:textAlignment w:val="auto"/>
              <w:outlineLvl w:val="9"/>
              <w:rPr>
                <w:rFonts w:hint="eastAsia" w:ascii="方正仿宋_GBK" w:hAnsi="方正仿宋_GBK" w:eastAsia="方正仿宋_GBK" w:cs="方正仿宋_GBK"/>
                <w:b w:val="0"/>
                <w:bCs w:val="0"/>
                <w:strike w:val="0"/>
                <w:snapToGrid w:val="0"/>
                <w:color w:val="auto"/>
                <w:spacing w:val="-5"/>
                <w:kern w:val="0"/>
                <w:sz w:val="21"/>
                <w:szCs w:val="21"/>
                <w:highlight w:val="none"/>
                <w:lang w:val="en-US" w:eastAsia="zh-CN"/>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注：</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2022年1月1日前已经申请取得排污许可证</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的产生</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单位</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，在排污许可证有效期内</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无需</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针对环境管理要求</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单独申请变更或重新申请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排污许可证。本项细则评估得分记满分</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w:t>
            </w:r>
          </w:p>
        </w:tc>
        <w:tc>
          <w:tcPr>
            <w:tcW w:w="1119"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p>
        </w:tc>
        <w:tc>
          <w:tcPr>
            <w:tcW w:w="680"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en-US"/>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412" w:hRule="atLeast"/>
          <w:jc w:val="center"/>
        </w:trPr>
        <w:tc>
          <w:tcPr>
            <w:tcW w:w="1630"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firstLine="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tc>
        <w:tc>
          <w:tcPr>
            <w:tcW w:w="1116"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pPr>
          </w:p>
        </w:tc>
        <w:tc>
          <w:tcPr>
            <w:tcW w:w="66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1</w:t>
            </w:r>
          </w:p>
        </w:tc>
        <w:tc>
          <w:tcPr>
            <w:tcW w:w="696"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pPr>
          </w:p>
        </w:tc>
        <w:tc>
          <w:tcPr>
            <w:tcW w:w="1139" w:type="dxa"/>
            <w:gridSpan w:val="2"/>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tc>
        <w:tc>
          <w:tcPr>
            <w:tcW w:w="7057"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3</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在“全国排污许可证管理信息平台”中如实填报了上一年度“一般工业固体废物电子台账”。得1分。</w:t>
            </w:r>
          </w:p>
        </w:tc>
        <w:tc>
          <w:tcPr>
            <w:tcW w:w="1119"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eastAsia="en-US"/>
                <w14:ligatures w14:val="none"/>
              </w:rPr>
            </w:pPr>
          </w:p>
        </w:tc>
        <w:tc>
          <w:tcPr>
            <w:tcW w:w="680"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eastAsia="en-US"/>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37" w:hRule="atLeast"/>
          <w:jc w:val="center"/>
        </w:trPr>
        <w:tc>
          <w:tcPr>
            <w:tcW w:w="163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firstLine="0" w:firstLine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三、清洁生产制度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《固废法》第三十八条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；《中华人民共和国清洁生产促进法》（中华人民共和国主席令第72号）；《清洁生产审核办法》（</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国家发展改革委</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环境保护部令第38号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116"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3.基于区级或市级生态环境局发布的“清洁生产审核企业名单”，产废单位</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依法实施清洁生产审核。</w:t>
            </w:r>
          </w:p>
        </w:tc>
        <w:tc>
          <w:tcPr>
            <w:tcW w:w="66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w:t>
            </w:r>
          </w:p>
        </w:tc>
        <w:tc>
          <w:tcPr>
            <w:tcW w:w="696"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1139" w:type="dxa"/>
            <w:gridSpan w:val="2"/>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执行</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清洁生产审核的企业</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按规定实施清洁生产审核，降低了一般工业固体废物产生强度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，并将实施情况纳入</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了</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审核报告。</w:t>
            </w:r>
          </w:p>
        </w:tc>
        <w:tc>
          <w:tcPr>
            <w:tcW w:w="7057"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1.</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被列入区级或市级“清洁生产审核企业名单”的企业按规定</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实施</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了</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清洁生产审核</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。得1分。</w:t>
            </w:r>
          </w:p>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2.实施</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了</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清洁生产审核的企业</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p>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（a）通过清洁生产审核</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减少</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了</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一般工业固体废物</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产生</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强度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，并将实施情况纳入清洁生产审核报告。</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得1分。</w:t>
            </w:r>
          </w:p>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（b）通过清洁生产审核未</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减少一般工业固体废物</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产生</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强度。得0分。</w:t>
            </w:r>
          </w:p>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注：未列入区级或市级“清洁生产审核企业名单”的企业，该项不计分。</w:t>
            </w:r>
          </w:p>
        </w:tc>
        <w:tc>
          <w:tcPr>
            <w:tcW w:w="1119"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eastAsia="en-US"/>
                <w14:ligatures w14:val="none"/>
              </w:rPr>
            </w:pP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资料检查（查看清洁生产审核报告、专家意见、验收报告等）</w:t>
            </w:r>
          </w:p>
        </w:tc>
        <w:tc>
          <w:tcPr>
            <w:tcW w:w="68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060" w:hRule="atLeast"/>
          <w:jc w:val="center"/>
        </w:trPr>
        <w:tc>
          <w:tcPr>
            <w:tcW w:w="1630"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firstLine="0" w:firstLine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四、管理台账制度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《固废法》第三十六条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《尾矿污染环境防治管理办法》（生态环境部令第26号）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《一般工业固体废物管理台账制定指南（试行）》（生态环境部公告2021年第82号）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116"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firstLine="0" w:firstLine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4.</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产废单位</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按照</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《一般工业固体废物管理台账制定指南（试行）》建立</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一般</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工业固体废物管理台账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p>
        </w:tc>
        <w:tc>
          <w:tcPr>
            <w:tcW w:w="66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kern w:val="0"/>
                <w:sz w:val="21"/>
                <w:szCs w:val="21"/>
                <w:highlight w:val="none"/>
                <w:lang w:val="en-US" w:eastAsia="zh-CN" w:bidi="ar-SA"/>
                <w14:ligatures w14:val="standardContextual"/>
              </w:rPr>
              <w:t>6</w:t>
            </w:r>
          </w:p>
        </w:tc>
        <w:tc>
          <w:tcPr>
            <w:tcW w:w="696"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lang w:val="en-US" w:eastAsia="zh-CN" w:bidi="ar-SA"/>
                <w14:ligatures w14:val="standardContextual"/>
              </w:rPr>
            </w:pPr>
          </w:p>
        </w:tc>
        <w:tc>
          <w:tcPr>
            <w:tcW w:w="1139" w:type="dxa"/>
            <w:gridSpan w:val="2"/>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产废单位按</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规定</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建</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立一般</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工业固体废物管理台账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，且符合保存年限要求。产生尾矿的单位通过信息系统准确填报相关信息。</w:t>
            </w:r>
          </w:p>
        </w:tc>
        <w:tc>
          <w:tcPr>
            <w:tcW w:w="7057"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firstLine="0" w:firstLine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1.</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rPr>
              <w:t>产生一般工业固体废物的规模以上、年产生量100吨及以上（近三年内）的企业</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，应</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建立</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产生、入库、出库、自行利用处置等各环节的管理</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台账，全面、准确地记录一般工业固体废物种类、代码、数量、流向、贮存、利用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处置等信息。</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得6分。上述内容每缺失1项或数据每错误1处，扣1分。最多扣6分。</w:t>
            </w:r>
          </w:p>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firstLine="0" w:firstLine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firstLine="0" w:firstLine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注：</w:t>
            </w:r>
            <w:r>
              <w:rPr>
                <w:rFonts w:hint="eastAsia" w:ascii="方正仿宋_GBK" w:hAnsi="方正仿宋_GBK" w:eastAsia="方正仿宋_GBK" w:cs="方正仿宋_GBK"/>
                <w:b w:val="0"/>
                <w:bCs w:val="0"/>
                <w:snapToGrid w:val="0"/>
                <w:color w:val="auto"/>
                <w:spacing w:val="-5"/>
                <w:kern w:val="0"/>
                <w:sz w:val="21"/>
                <w:szCs w:val="21"/>
                <w:highlight w:val="none"/>
              </w:rPr>
              <w:t>鼓励优先建立电子台账</w:t>
            </w:r>
            <w:r>
              <w:rPr>
                <w:rFonts w:hint="eastAsia" w:ascii="方正仿宋_GBK" w:hAnsi="方正仿宋_GBK" w:eastAsia="方正仿宋_GBK" w:cs="方正仿宋_GBK"/>
                <w:b w:val="0"/>
                <w:bCs w:val="0"/>
                <w:snapToGrid w:val="0"/>
                <w:color w:val="auto"/>
                <w:spacing w:val="-5"/>
                <w:kern w:val="0"/>
                <w:sz w:val="21"/>
                <w:szCs w:val="21"/>
                <w:highlight w:val="none"/>
                <w:lang w:eastAsia="zh-CN"/>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rPr>
              <w:t>电子台账：信息系统导出文件、表格或文档。</w:t>
            </w:r>
            <w:r>
              <w:rPr>
                <w:rFonts w:hint="eastAsia" w:ascii="方正仿宋_GBK" w:hAnsi="方正仿宋_GBK" w:eastAsia="方正仿宋_GBK" w:cs="方正仿宋_GBK"/>
                <w:b w:val="0"/>
                <w:bCs w:val="0"/>
                <w:snapToGrid w:val="0"/>
                <w:color w:val="auto"/>
                <w:spacing w:val="-5"/>
                <w:kern w:val="0"/>
                <w:sz w:val="21"/>
                <w:szCs w:val="21"/>
                <w:highlight w:val="none"/>
                <w:lang w:eastAsia="zh-CN"/>
              </w:rPr>
              <w:t>建立电子台</w:t>
            </w:r>
            <w:r>
              <w:rPr>
                <w:rFonts w:hint="eastAsia" w:ascii="方正仿宋_GBK" w:hAnsi="方正仿宋_GBK" w:eastAsia="方正仿宋_GBK" w:cs="方正仿宋_GBK"/>
                <w:b w:val="0"/>
                <w:bCs w:val="0"/>
                <w:snapToGrid w:val="0"/>
                <w:color w:val="auto"/>
                <w:spacing w:val="-5"/>
                <w:kern w:val="0"/>
                <w:sz w:val="21"/>
                <w:szCs w:val="21"/>
                <w:highlight w:val="none"/>
                <w:lang w:eastAsia="en-US"/>
              </w:rPr>
              <w:t>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rPr>
              <w:t>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产废单位</w:t>
            </w:r>
            <w:r>
              <w:rPr>
                <w:rFonts w:hint="eastAsia" w:ascii="方正仿宋_GBK" w:hAnsi="方正仿宋_GBK" w:eastAsia="方正仿宋_GBK" w:cs="方正仿宋_GBK"/>
                <w:b w:val="0"/>
                <w:bCs w:val="0"/>
                <w:snapToGrid w:val="0"/>
                <w:color w:val="auto"/>
                <w:spacing w:val="-5"/>
                <w:kern w:val="0"/>
                <w:sz w:val="21"/>
                <w:szCs w:val="21"/>
                <w:highlight w:val="none"/>
                <w:lang w:eastAsia="zh-CN"/>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rPr>
              <w:t>可根据实际情况自行决定是否</w:t>
            </w:r>
            <w:r>
              <w:rPr>
                <w:rFonts w:hint="eastAsia" w:ascii="方正仿宋_GBK" w:hAnsi="方正仿宋_GBK" w:eastAsia="方正仿宋_GBK" w:cs="方正仿宋_GBK"/>
                <w:b w:val="0"/>
                <w:bCs w:val="0"/>
                <w:snapToGrid w:val="0"/>
                <w:color w:val="auto"/>
                <w:spacing w:val="-5"/>
                <w:kern w:val="0"/>
                <w:sz w:val="21"/>
                <w:szCs w:val="21"/>
                <w:highlight w:val="none"/>
                <w:lang w:eastAsia="en-US"/>
              </w:rPr>
              <w:t>再记录纸质台账。</w:t>
            </w:r>
          </w:p>
        </w:tc>
        <w:tc>
          <w:tcPr>
            <w:tcW w:w="1119"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eastAsia="en-US"/>
                <w14:ligatures w14:val="none"/>
              </w:rPr>
            </w:pP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资料检查（查看每年度的台账、电子信息系统和转移联单等资料）</w:t>
            </w:r>
          </w:p>
        </w:tc>
        <w:tc>
          <w:tcPr>
            <w:tcW w:w="680"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01" w:hRule="atLeast"/>
          <w:jc w:val="center"/>
        </w:trPr>
        <w:tc>
          <w:tcPr>
            <w:tcW w:w="1630"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firstLine="0" w:firstLine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116"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firstLine="0" w:firstLine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66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kern w:val="0"/>
                <w:sz w:val="21"/>
                <w:szCs w:val="21"/>
                <w:highlight w:val="none"/>
                <w:lang w:val="en-US" w:eastAsia="zh-CN" w:bidi="ar-SA"/>
                <w14:ligatures w14:val="standardContextual"/>
              </w:rPr>
              <w:t>1</w:t>
            </w:r>
          </w:p>
        </w:tc>
        <w:tc>
          <w:tcPr>
            <w:tcW w:w="696"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lang w:val="en-US" w:eastAsia="zh-CN" w:bidi="ar-SA"/>
                <w14:ligatures w14:val="standardContextual"/>
              </w:rPr>
            </w:pPr>
          </w:p>
        </w:tc>
        <w:tc>
          <w:tcPr>
            <w:tcW w:w="1139" w:type="dxa"/>
            <w:gridSpan w:val="2"/>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pPr>
          </w:p>
        </w:tc>
        <w:tc>
          <w:tcPr>
            <w:tcW w:w="705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left"/>
              <w:textAlignment w:val="auto"/>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2.一般工业固体废物管理台账保存年限：</w:t>
            </w:r>
          </w:p>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left"/>
              <w:textAlignment w:val="auto"/>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（a）一般工业固体废物管理台账保存5年以上。得1分。</w:t>
            </w:r>
          </w:p>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left"/>
              <w:textAlignment w:val="auto"/>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（b）一般工业固体废物管理台账未保存5年以上。得0分。</w:t>
            </w:r>
          </w:p>
        </w:tc>
        <w:tc>
          <w:tcPr>
            <w:tcW w:w="1119"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p>
        </w:tc>
        <w:tc>
          <w:tcPr>
            <w:tcW w:w="680"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47" w:hRule="atLeast"/>
          <w:jc w:val="center"/>
        </w:trPr>
        <w:tc>
          <w:tcPr>
            <w:tcW w:w="1630"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firstLine="0" w:firstLine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116"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firstLine="0" w:firstLine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66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kern w:val="0"/>
                <w:sz w:val="21"/>
                <w:szCs w:val="21"/>
                <w:highlight w:val="none"/>
                <w:lang w:val="en-US" w:eastAsia="zh-CN" w:bidi="ar-SA"/>
                <w14:ligatures w14:val="standardContextual"/>
              </w:rPr>
              <w:t>2</w:t>
            </w:r>
          </w:p>
        </w:tc>
        <w:tc>
          <w:tcPr>
            <w:tcW w:w="696"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lang w:val="en-US" w:eastAsia="zh-CN" w:bidi="ar-SA"/>
                <w14:ligatures w14:val="standardContextual"/>
              </w:rPr>
            </w:pPr>
          </w:p>
        </w:tc>
        <w:tc>
          <w:tcPr>
            <w:tcW w:w="1139" w:type="dxa"/>
            <w:gridSpan w:val="2"/>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pPr>
          </w:p>
        </w:tc>
        <w:tc>
          <w:tcPr>
            <w:tcW w:w="705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left"/>
              <w:textAlignment w:val="auto"/>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3.</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产生尾矿的单位通过</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“全国固体废物和化学品管理信息系统—尾矿环境管理信息子系统”准确</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填报有关信息。</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得2分。</w:t>
            </w:r>
          </w:p>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left"/>
              <w:textAlignment w:val="auto"/>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left"/>
              <w:textAlignment w:val="auto"/>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注：非尾矿库产生单位，该项细则不计分。</w:t>
            </w:r>
          </w:p>
        </w:tc>
        <w:tc>
          <w:tcPr>
            <w:tcW w:w="1119"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p>
        </w:tc>
        <w:tc>
          <w:tcPr>
            <w:tcW w:w="680"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90" w:hRule="atLeast"/>
          <w:jc w:val="center"/>
        </w:trPr>
        <w:tc>
          <w:tcPr>
            <w:tcW w:w="1630"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五、贮存管理</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《固废法》第五条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第二十条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第三十六条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；第四十条；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《尾矿库污染隐患排查治理工作指南（试行）》</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（生态环境部公告2022年第10号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116"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5.产生、贮存、运输、利用处置</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一般工业固体废物</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的单位，必须采取防扬散、防流失、防渗漏或者其他防止污染环境的措施</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p>
        </w:tc>
        <w:tc>
          <w:tcPr>
            <w:tcW w:w="66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2</w:t>
            </w:r>
          </w:p>
        </w:tc>
        <w:tc>
          <w:tcPr>
            <w:tcW w:w="696"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p>
        </w:tc>
        <w:tc>
          <w:tcPr>
            <w:tcW w:w="1139" w:type="dxa"/>
            <w:gridSpan w:val="2"/>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en-US"/>
                <w14:ligatures w14:val="none"/>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产生单位按规定建设一般工业固体废物贮存设施，并规范贮存一般工业固体废物。同时，产生尾矿库的单位按规范开展</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污染隐患</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排查治理。</w:t>
            </w:r>
          </w:p>
        </w:tc>
        <w:tc>
          <w:tcPr>
            <w:tcW w:w="7057"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firstLine="0" w:firstLine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rPr>
            </w:pPr>
            <w:r>
              <w:rPr>
                <w:rFonts w:hint="eastAsia" w:ascii="方正仿宋_GBK" w:hAnsi="方正仿宋_GBK" w:eastAsia="方正仿宋_GBK" w:cs="方正仿宋_GBK"/>
                <w:b w:val="0"/>
                <w:bCs w:val="0"/>
                <w:snapToGrid w:val="0"/>
                <w:color w:val="auto"/>
                <w:spacing w:val="-5"/>
                <w:kern w:val="0"/>
                <w:sz w:val="21"/>
                <w:szCs w:val="21"/>
                <w:highlight w:val="none"/>
              </w:rPr>
              <w:t>1.</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rPr>
              <w:t>建设</w:t>
            </w:r>
            <w:r>
              <w:rPr>
                <w:rFonts w:hint="eastAsia" w:ascii="方正仿宋_GBK" w:hAnsi="方正仿宋_GBK" w:eastAsia="方正仿宋_GBK" w:cs="方正仿宋_GBK"/>
                <w:b w:val="0"/>
                <w:bCs w:val="0"/>
                <w:snapToGrid w:val="0"/>
                <w:color w:val="auto"/>
                <w:spacing w:val="-5"/>
                <w:kern w:val="0"/>
                <w:sz w:val="21"/>
                <w:szCs w:val="21"/>
                <w:highlight w:val="none"/>
              </w:rPr>
              <w:t>一般工业固体废物贮存</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rPr>
              <w:t>场和填埋场的</w:t>
            </w:r>
            <w:r>
              <w:rPr>
                <w:rFonts w:hint="eastAsia" w:ascii="方正仿宋_GBK" w:hAnsi="方正仿宋_GBK" w:eastAsia="方正仿宋_GBK" w:cs="方正仿宋_GBK"/>
                <w:b w:val="0"/>
                <w:bCs w:val="0"/>
                <w:snapToGrid w:val="0"/>
                <w:color w:val="auto"/>
                <w:spacing w:val="-5"/>
                <w:kern w:val="0"/>
                <w:sz w:val="21"/>
                <w:szCs w:val="21"/>
                <w:highlight w:val="none"/>
              </w:rPr>
              <w:t>单位</w:t>
            </w:r>
            <w:r>
              <w:rPr>
                <w:rFonts w:hint="eastAsia" w:ascii="方正仿宋_GBK" w:hAnsi="方正仿宋_GBK" w:eastAsia="方正仿宋_GBK" w:cs="方正仿宋_GBK"/>
                <w:b w:val="0"/>
                <w:bCs w:val="0"/>
                <w:snapToGrid w:val="0"/>
                <w:color w:val="auto"/>
                <w:spacing w:val="-5"/>
                <w:kern w:val="0"/>
                <w:sz w:val="21"/>
                <w:szCs w:val="21"/>
                <w:highlight w:val="none"/>
                <w:lang w:eastAsia="zh-CN"/>
              </w:rPr>
              <w:t>，</w:t>
            </w:r>
            <w:r>
              <w:rPr>
                <w:rFonts w:hint="eastAsia" w:ascii="方正仿宋_GBK" w:hAnsi="方正仿宋_GBK" w:eastAsia="方正仿宋_GBK" w:cs="方正仿宋_GBK"/>
                <w:b w:val="0"/>
                <w:bCs w:val="0"/>
                <w:snapToGrid w:val="0"/>
                <w:color w:val="auto"/>
                <w:spacing w:val="-5"/>
                <w:kern w:val="0"/>
                <w:sz w:val="21"/>
                <w:szCs w:val="21"/>
                <w:highlight w:val="none"/>
              </w:rPr>
              <w:t>应当执行GB</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rPr>
              <w:t xml:space="preserve"> </w:t>
            </w:r>
            <w:r>
              <w:rPr>
                <w:rFonts w:hint="eastAsia" w:ascii="方正仿宋_GBK" w:hAnsi="方正仿宋_GBK" w:eastAsia="方正仿宋_GBK" w:cs="方正仿宋_GBK"/>
                <w:b w:val="0"/>
                <w:bCs w:val="0"/>
                <w:snapToGrid w:val="0"/>
                <w:color w:val="auto"/>
                <w:spacing w:val="-5"/>
                <w:kern w:val="0"/>
                <w:sz w:val="21"/>
                <w:szCs w:val="21"/>
                <w:highlight w:val="none"/>
              </w:rPr>
              <w:t>18599等有关标准规范要求。</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rPr>
              <w:t>得2分。</w:t>
            </w:r>
          </w:p>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firstLine="0" w:firstLine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firstLine="0" w:firstLine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注：无</w:t>
            </w:r>
            <w:r>
              <w:rPr>
                <w:rFonts w:hint="eastAsia" w:ascii="方正仿宋_GBK" w:hAnsi="方正仿宋_GBK" w:eastAsia="方正仿宋_GBK" w:cs="方正仿宋_GBK"/>
                <w:b w:val="0"/>
                <w:bCs w:val="0"/>
                <w:snapToGrid w:val="0"/>
                <w:color w:val="auto"/>
                <w:spacing w:val="-5"/>
                <w:kern w:val="0"/>
                <w:sz w:val="21"/>
                <w:szCs w:val="21"/>
                <w:highlight w:val="none"/>
              </w:rPr>
              <w:t>一般工业固体废物贮存</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rPr>
              <w:t>场和填埋场的单位，该项不计分。</w:t>
            </w:r>
          </w:p>
        </w:tc>
        <w:tc>
          <w:tcPr>
            <w:tcW w:w="1119"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en-US"/>
                <w14:ligatures w14:val="none"/>
              </w:rPr>
            </w:pP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现场核查及资料检查（核查验收报告等材料）</w:t>
            </w:r>
          </w:p>
        </w:tc>
        <w:tc>
          <w:tcPr>
            <w:tcW w:w="68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465" w:hRule="atLeast"/>
          <w:jc w:val="center"/>
        </w:trPr>
        <w:tc>
          <w:tcPr>
            <w:tcW w:w="1630"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116"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tc>
        <w:tc>
          <w:tcPr>
            <w:tcW w:w="66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10</w:t>
            </w:r>
          </w:p>
        </w:tc>
        <w:tc>
          <w:tcPr>
            <w:tcW w:w="696"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p>
        </w:tc>
        <w:tc>
          <w:tcPr>
            <w:tcW w:w="1139" w:type="dxa"/>
            <w:gridSpan w:val="2"/>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7057"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firstLine="0" w:firstLine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w:t>
            </w:r>
            <w:r>
              <w:rPr>
                <w:rFonts w:hint="eastAsia" w:ascii="方正仿宋_GBK" w:hAnsi="方正仿宋_GBK" w:eastAsia="方正仿宋_GBK" w:cs="方正仿宋_GBK"/>
                <w:b w:val="0"/>
                <w:bCs w:val="0"/>
                <w:snapToGrid w:val="0"/>
                <w:color w:val="auto"/>
                <w:spacing w:val="-5"/>
                <w:kern w:val="0"/>
                <w:sz w:val="21"/>
                <w:szCs w:val="21"/>
                <w:highlight w:val="none"/>
              </w:rPr>
              <w:t>采用库房、包装工具（罐、桶、包装袋等）贮存一般工业固体废物</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rPr>
              <w:t>的</w:t>
            </w:r>
            <w:r>
              <w:rPr>
                <w:rFonts w:hint="eastAsia" w:ascii="方正仿宋_GBK" w:hAnsi="方正仿宋_GBK" w:eastAsia="方正仿宋_GBK" w:cs="方正仿宋_GBK"/>
                <w:b w:val="0"/>
                <w:bCs w:val="0"/>
                <w:snapToGrid w:val="0"/>
                <w:color w:val="auto"/>
                <w:spacing w:val="-5"/>
                <w:kern w:val="0"/>
                <w:sz w:val="21"/>
                <w:szCs w:val="21"/>
                <w:highlight w:val="none"/>
              </w:rPr>
              <w:t>，其贮存过程应当设置一般工业固体废物贮存库，</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rPr>
              <w:t>应</w:t>
            </w:r>
            <w:r>
              <w:rPr>
                <w:rFonts w:hint="eastAsia" w:ascii="方正仿宋_GBK" w:hAnsi="方正仿宋_GBK" w:eastAsia="方正仿宋_GBK" w:cs="方正仿宋_GBK"/>
                <w:b w:val="0"/>
                <w:bCs w:val="0"/>
                <w:snapToGrid w:val="0"/>
                <w:color w:val="auto"/>
                <w:spacing w:val="-5"/>
                <w:kern w:val="0"/>
                <w:sz w:val="21"/>
                <w:szCs w:val="21"/>
                <w:highlight w:val="none"/>
              </w:rPr>
              <w:t>满足</w:t>
            </w:r>
            <w:r>
              <w:rPr>
                <w:rFonts w:hint="eastAsia" w:ascii="方正仿宋_GBK" w:hAnsi="方正仿宋_GBK" w:eastAsia="方正仿宋_GBK" w:cs="方正仿宋_GBK"/>
                <w:b w:val="0"/>
                <w:bCs w:val="0"/>
                <w:snapToGrid w:val="0"/>
                <w:color w:val="auto"/>
                <w:spacing w:val="-5"/>
                <w:kern w:val="0"/>
                <w:sz w:val="21"/>
                <w:szCs w:val="21"/>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firstLine="0" w:firstLine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（a）第Ⅱ类一般工业固体废物贮存库做防渗及地面硬化处理；</w:t>
            </w:r>
          </w:p>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firstLine="0" w:firstLine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（b）贮存库设雨棚、围堰或围墙等防雨淋、防扬尘措施；</w:t>
            </w:r>
          </w:p>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firstLine="0" w:firstLine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（c）贮存库设置废水导排管道或渠道；</w:t>
            </w:r>
          </w:p>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firstLine="0" w:firstLine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（d）运输车辆采取防尘、防撒落措施；</w:t>
            </w:r>
          </w:p>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firstLine="0" w:firstLine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（e）贮存库内一般工业固体废物分类分区贮存，且未混入生活垃圾。</w:t>
            </w:r>
          </w:p>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firstLine="0" w:firstLine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以上每项符合得2分。</w:t>
            </w:r>
          </w:p>
        </w:tc>
        <w:tc>
          <w:tcPr>
            <w:tcW w:w="1119"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现场核查</w:t>
            </w:r>
          </w:p>
        </w:tc>
        <w:tc>
          <w:tcPr>
            <w:tcW w:w="68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90" w:hRule="atLeast"/>
          <w:jc w:val="center"/>
        </w:trPr>
        <w:tc>
          <w:tcPr>
            <w:tcW w:w="1630"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116"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tc>
        <w:tc>
          <w:tcPr>
            <w:tcW w:w="66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1</w:t>
            </w:r>
          </w:p>
        </w:tc>
        <w:tc>
          <w:tcPr>
            <w:tcW w:w="696"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p>
        </w:tc>
        <w:tc>
          <w:tcPr>
            <w:tcW w:w="1139" w:type="dxa"/>
            <w:gridSpan w:val="2"/>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7057"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firstLine="0" w:firstLine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3.贮存场所显著位置张贴符合</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GB</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 xml:space="preserve"> </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15562.2</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的环境保护图形标志，且准确注明贮存场编号，固废名称、种类和代码等信息。得1分。</w:t>
            </w:r>
          </w:p>
        </w:tc>
        <w:tc>
          <w:tcPr>
            <w:tcW w:w="1119"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现场核查</w:t>
            </w:r>
          </w:p>
        </w:tc>
        <w:tc>
          <w:tcPr>
            <w:tcW w:w="68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612" w:hRule="atLeast"/>
          <w:jc w:val="center"/>
        </w:trPr>
        <w:tc>
          <w:tcPr>
            <w:tcW w:w="1630"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116"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tc>
        <w:tc>
          <w:tcPr>
            <w:tcW w:w="66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2</w:t>
            </w:r>
          </w:p>
        </w:tc>
        <w:tc>
          <w:tcPr>
            <w:tcW w:w="696"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p>
        </w:tc>
        <w:tc>
          <w:tcPr>
            <w:tcW w:w="1139" w:type="dxa"/>
            <w:gridSpan w:val="2"/>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7057" w:type="dxa"/>
            <w:shd w:val="clear" w:color="auto" w:fill="auto"/>
            <w:vAlign w:val="center"/>
          </w:tcPr>
          <w:p>
            <w:pPr>
              <w:keepNext w:val="0"/>
              <w:keepLines w:val="0"/>
              <w:pageBreakBefore w:val="0"/>
              <w:widowControl/>
              <w:numPr>
                <w:ilvl w:val="-1"/>
                <w:numId w:val="0"/>
              </w:numPr>
              <w:kinsoku/>
              <w:wordWrap/>
              <w:overflowPunct/>
              <w:topLinePunct w:val="0"/>
              <w:autoSpaceDE w:val="0"/>
              <w:autoSpaceDN w:val="0"/>
              <w:bidi w:val="0"/>
              <w:adjustRightInd w:val="0"/>
              <w:snapToGrid w:val="0"/>
              <w:spacing w:line="280" w:lineRule="exact"/>
              <w:ind w:left="0" w:leftChars="0" w:right="0" w:rightChars="0" w:firstLine="0" w:firstLine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3.</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尾矿库建立污染隐患排查治理制度，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且</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在每年汛期前至少开展一次全面排查治理。</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得2分。</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80" w:lineRule="exact"/>
              <w:ind w:left="0" w:leftChars="0" w:right="0" w:rightChars="0" w:firstLine="0" w:firstLine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firstLine="0" w:firstLine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注：非尾矿库产生单位，该项细则不计分。</w:t>
            </w:r>
          </w:p>
        </w:tc>
        <w:tc>
          <w:tcPr>
            <w:tcW w:w="1119"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资料检查（查看制度文件及排查治理资料）</w:t>
            </w:r>
          </w:p>
        </w:tc>
        <w:tc>
          <w:tcPr>
            <w:tcW w:w="68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eastAsia="en-US"/>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24" w:hRule="atLeast"/>
          <w:jc w:val="center"/>
        </w:trPr>
        <w:tc>
          <w:tcPr>
            <w:tcW w:w="1630"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六、利用处置管理</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《固废法》第五条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、第</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四十条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116"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6.</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产废单位依</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照自身</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经济、技术条件</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综合利用一般工业固体废物</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w:t>
            </w:r>
          </w:p>
        </w:tc>
        <w:tc>
          <w:tcPr>
            <w:tcW w:w="66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6</w:t>
            </w:r>
          </w:p>
        </w:tc>
        <w:tc>
          <w:tcPr>
            <w:tcW w:w="696"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1139" w:type="dxa"/>
            <w:gridSpan w:val="2"/>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产废单位</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对一般工业固体废物进行资源化利用的，其产品应符合《固体废物鉴别标准 通则》的相关要求；进行无害化处置的，其运行符合相关标准规范。相关利用处置设施建设应依法进行环境影响评价，并完成“三同时”验收。</w:t>
            </w:r>
          </w:p>
        </w:tc>
        <w:tc>
          <w:tcPr>
            <w:tcW w:w="7057" w:type="dxa"/>
            <w:shd w:val="clear" w:color="auto" w:fill="auto"/>
            <w:vAlign w:val="center"/>
          </w:tcPr>
          <w:p>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line="280" w:lineRule="exact"/>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eastAsia="en-US"/>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1</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一般工业固体废物资源化利用产物</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满足以下条件之一的，得6分：</w:t>
            </w:r>
          </w:p>
          <w:p>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line="280" w:lineRule="exact"/>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eastAsia="en-US"/>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（a）一般工业固体</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废物资源化产物生产过程中排放到环境中的有害物质限值和该产物中有害物质的含量限值，符合国家相关污染物排放（控制）标准或技术规范要求，并提供证明材料。</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（b）</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当没有国家污染控制标准或技术规范时，</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一般工业固体</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废物资源化产物中所含有害成分含量不高于利用被替代原料生产的产品中的有害成分含量，并且在该产物生产过程中，排放到环境中的有害物质浓度不高于利用所替代原料生产产品过程中排放到环境中的有害物质浓度，并提供证明材料。</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注：本项适用于建设有一般工业固体废物资源化利用设施，且该设施正常运行的所有企业。无一般工业固体废物资源化利用的，该项不计分。</w:t>
            </w:r>
          </w:p>
        </w:tc>
        <w:tc>
          <w:tcPr>
            <w:tcW w:w="1119"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资料检查（查看设施验收报告、自行监测及相关检测报告等）</w:t>
            </w:r>
          </w:p>
        </w:tc>
        <w:tc>
          <w:tcPr>
            <w:tcW w:w="680"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80" w:hRule="atLeast"/>
          <w:jc w:val="center"/>
        </w:trPr>
        <w:tc>
          <w:tcPr>
            <w:tcW w:w="1630"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116"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66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6</w:t>
            </w:r>
          </w:p>
        </w:tc>
        <w:tc>
          <w:tcPr>
            <w:tcW w:w="696"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1139" w:type="dxa"/>
            <w:gridSpan w:val="2"/>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7057" w:type="dxa"/>
            <w:shd w:val="clear" w:color="auto" w:fill="auto"/>
            <w:vAlign w:val="center"/>
          </w:tcPr>
          <w:p>
            <w:pPr>
              <w:keepNext w:val="0"/>
              <w:keepLines w:val="0"/>
              <w:pageBreakBefore w:val="0"/>
              <w:widowControl/>
              <w:numPr>
                <w:ilvl w:val="0"/>
                <w:numId w:val="0"/>
              </w:numPr>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以焚烧、填埋、水泥窑等方式自行处置</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一般工业固体</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废物的运行要求符合国家和地方相关标准规范（如《一般工业固体废物贮存和填埋污染控制标准》（GB 18599）、《生活垃圾焚烧污染控制标准》（GB 18485）、《水泥窑协同处置固体废物污染控制标准》（GB 30485）等）</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得6分。根据实际情况，酌情打分。</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注：本项适用于建设有一般工业固体废物无害化处置设施，且该设施正常运行的所有企业。无一般工业固体废物无害化处置的，该项不计分。</w:t>
            </w:r>
          </w:p>
        </w:tc>
        <w:tc>
          <w:tcPr>
            <w:tcW w:w="1119"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p>
        </w:tc>
        <w:tc>
          <w:tcPr>
            <w:tcW w:w="680"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050" w:hRule="atLeast"/>
          <w:jc w:val="center"/>
        </w:trPr>
        <w:tc>
          <w:tcPr>
            <w:tcW w:w="1630"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116"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66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4</w:t>
            </w:r>
          </w:p>
        </w:tc>
        <w:tc>
          <w:tcPr>
            <w:tcW w:w="696"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1139" w:type="dxa"/>
            <w:gridSpan w:val="2"/>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7057" w:type="dxa"/>
            <w:shd w:val="clear" w:color="auto" w:fill="auto"/>
            <w:vAlign w:val="center"/>
          </w:tcPr>
          <w:p>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line="280" w:lineRule="exact"/>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eastAsia="en-US"/>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4</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（a）</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按照有关法律和排污单位自行监测技术指南等规定，建立企业监测制度，制定监测方案，且近一年内按照监测方案要求的监测点位、监测指标和监测频次对自行</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利用、</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处置设施污染物排放情况进行了监测，有环境监测报告，并且污染物排放符合执行标准。得</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4</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分。</w:t>
            </w:r>
          </w:p>
          <w:p>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line="280" w:lineRule="exact"/>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eastAsia="en-US"/>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（b）</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近一年内有环境监测报告，并且污染物排放符合执行标准，但监测点位不符合要求或监测指标、频次不足。得</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分。</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（c）</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近一年内未对污染物排放情况进行监测，或污染物超标排放。得0分。</w:t>
            </w:r>
          </w:p>
        </w:tc>
        <w:tc>
          <w:tcPr>
            <w:tcW w:w="1119"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p>
        </w:tc>
        <w:tc>
          <w:tcPr>
            <w:tcW w:w="680"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755" w:hRule="atLeast"/>
          <w:jc w:val="center"/>
        </w:trPr>
        <w:tc>
          <w:tcPr>
            <w:tcW w:w="1630"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七、转移管理</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《固废法》第二十二条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第三十七条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116" w:type="dxa"/>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7.1.产废单位依法核实受托单位的运输、利用及处置能力，并在合同中约定污染防治要求；明确受托方的“处置报告”及“环境污染防治”义务；执行一般工业固体废物联单制度。</w:t>
            </w:r>
          </w:p>
        </w:tc>
        <w:tc>
          <w:tcPr>
            <w:tcW w:w="66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1.5</w:t>
            </w:r>
          </w:p>
        </w:tc>
        <w:tc>
          <w:tcPr>
            <w:tcW w:w="696"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1139" w:type="dxa"/>
            <w:gridSpan w:val="2"/>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产废单位核实一般工业固体废物利用、处置单位主体资格和能力，在委托合同中载明一般工业固体废物相关信息；约定相关义务。产生单位按实际情况执行转移联单；并明确其最终利用、处置去向。</w:t>
            </w:r>
          </w:p>
        </w:tc>
        <w:tc>
          <w:tcPr>
            <w:tcW w:w="7057"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1.</w:t>
            </w:r>
            <w:r>
              <w:rPr>
                <w:rFonts w:hint="eastAsia" w:ascii="方正仿宋_GBK" w:hAnsi="方正仿宋_GBK" w:eastAsia="方正仿宋_GBK" w:cs="方正仿宋_GBK"/>
                <w:b w:val="0"/>
                <w:bCs w:val="0"/>
                <w:snapToGrid w:val="0"/>
                <w:color w:val="auto"/>
                <w:spacing w:val="-5"/>
                <w:kern w:val="0"/>
                <w:sz w:val="21"/>
                <w:szCs w:val="21"/>
                <w:highlight w:val="none"/>
              </w:rPr>
              <w:t>产生单位直接委托</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rPr>
              <w:t>受托方或由受托方代为委托的服务方</w:t>
            </w:r>
            <w:r>
              <w:rPr>
                <w:rFonts w:hint="eastAsia" w:ascii="方正仿宋_GBK" w:hAnsi="方正仿宋_GBK" w:eastAsia="方正仿宋_GBK" w:cs="方正仿宋_GBK"/>
                <w:b w:val="0"/>
                <w:bCs w:val="0"/>
                <w:snapToGrid w:val="0"/>
                <w:color w:val="auto"/>
                <w:spacing w:val="-5"/>
                <w:kern w:val="0"/>
                <w:sz w:val="21"/>
                <w:szCs w:val="21"/>
                <w:highlight w:val="none"/>
              </w:rPr>
              <w:t>利用处置一般工业固体废物的，在发生委托行为之前，核实受托方</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rPr>
              <w:t>或由受托方代为委托的服务方</w:t>
            </w:r>
            <w:r>
              <w:rPr>
                <w:rFonts w:hint="eastAsia" w:ascii="方正仿宋_GBK" w:hAnsi="方正仿宋_GBK" w:eastAsia="方正仿宋_GBK" w:cs="方正仿宋_GBK"/>
                <w:b w:val="0"/>
                <w:bCs w:val="0"/>
                <w:snapToGrid w:val="0"/>
                <w:color w:val="auto"/>
                <w:spacing w:val="-5"/>
                <w:kern w:val="0"/>
                <w:sz w:val="21"/>
                <w:szCs w:val="21"/>
                <w:highlight w:val="none"/>
              </w:rPr>
              <w:t>的主体资格和技术能力</w:t>
            </w:r>
            <w:r>
              <w:rPr>
                <w:rFonts w:hint="eastAsia" w:ascii="方正仿宋_GBK" w:hAnsi="方正仿宋_GBK" w:eastAsia="方正仿宋_GBK" w:cs="方正仿宋_GBK"/>
                <w:b w:val="0"/>
                <w:bCs w:val="0"/>
                <w:snapToGrid w:val="0"/>
                <w:color w:val="auto"/>
                <w:spacing w:val="-5"/>
                <w:kern w:val="0"/>
                <w:sz w:val="21"/>
                <w:szCs w:val="21"/>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（a）营业执照；</w:t>
            </w:r>
          </w:p>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（b）环境影响评价文件及批复文件；</w:t>
            </w:r>
          </w:p>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（c）排污许可证。</w:t>
            </w:r>
          </w:p>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经核实，所产生一般工业固体废物在受托方</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rPr>
              <w:t>或由受托方代为委托的服务方</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的处置能力范围之内。得1.5分。</w:t>
            </w:r>
          </w:p>
        </w:tc>
        <w:tc>
          <w:tcPr>
            <w:tcW w:w="1119"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资料检查（查看合同材料及利用处置单位的相关资料）</w:t>
            </w:r>
          </w:p>
        </w:tc>
        <w:tc>
          <w:tcPr>
            <w:tcW w:w="68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148" w:hRule="atLeast"/>
          <w:jc w:val="center"/>
        </w:trPr>
        <w:tc>
          <w:tcPr>
            <w:tcW w:w="1630"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116"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66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2.5</w:t>
            </w:r>
          </w:p>
        </w:tc>
        <w:tc>
          <w:tcPr>
            <w:tcW w:w="696"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139" w:type="dxa"/>
            <w:gridSpan w:val="2"/>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7057"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2.产废单位与受托单位签订的合同应包含以下内容，每项符合得0.5分：</w:t>
            </w:r>
          </w:p>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（a）</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一般工业固体废物的产生环节</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种类</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、代码、</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物理性状</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、包装方式、</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数量</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及处置方式等</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w:t>
            </w:r>
          </w:p>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（b）受托方贮存</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一般工业固体废物的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场所；若有</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利用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处置</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设施，还应明确利用/处置一般工业固体废物的场所、</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采取的技术方法以及利用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处置能力</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（c）</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rPr>
              <w:t>受托方或由受托方代为委托的服务方</w:t>
            </w:r>
            <w:r>
              <w:rPr>
                <w:rFonts w:hint="eastAsia" w:ascii="方正仿宋_GBK" w:hAnsi="方正仿宋_GBK" w:eastAsia="方正仿宋_GBK" w:cs="方正仿宋_GBK"/>
                <w:b w:val="0"/>
                <w:bCs w:val="0"/>
                <w:snapToGrid w:val="0"/>
                <w:color w:val="auto"/>
                <w:spacing w:val="-5"/>
                <w:kern w:val="0"/>
                <w:sz w:val="21"/>
                <w:szCs w:val="21"/>
                <w:highlight w:val="none"/>
              </w:rPr>
              <w:t>利用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rPr>
              <w:t>处置</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一般工业固体废物</w:t>
            </w:r>
            <w:r>
              <w:rPr>
                <w:rFonts w:hint="eastAsia" w:ascii="方正仿宋_GBK" w:hAnsi="方正仿宋_GBK" w:eastAsia="方正仿宋_GBK" w:cs="方正仿宋_GBK"/>
                <w:b w:val="0"/>
                <w:bCs w:val="0"/>
                <w:snapToGrid w:val="0"/>
                <w:color w:val="auto"/>
                <w:spacing w:val="-5"/>
                <w:kern w:val="0"/>
                <w:sz w:val="21"/>
                <w:szCs w:val="21"/>
                <w:highlight w:val="none"/>
              </w:rPr>
              <w:t>结束后，</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rPr>
              <w:t>由</w:t>
            </w:r>
            <w:r>
              <w:rPr>
                <w:rFonts w:hint="eastAsia" w:ascii="方正仿宋_GBK" w:hAnsi="方正仿宋_GBK" w:eastAsia="方正仿宋_GBK" w:cs="方正仿宋_GBK"/>
                <w:b w:val="0"/>
                <w:bCs w:val="0"/>
                <w:snapToGrid w:val="0"/>
                <w:color w:val="auto"/>
                <w:spacing w:val="-5"/>
                <w:kern w:val="0"/>
                <w:sz w:val="21"/>
                <w:szCs w:val="21"/>
                <w:highlight w:val="none"/>
              </w:rPr>
              <w:t>受托方</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rPr>
              <w:t>应及时</w:t>
            </w:r>
            <w:r>
              <w:rPr>
                <w:rFonts w:hint="eastAsia" w:ascii="方正仿宋_GBK" w:hAnsi="方正仿宋_GBK" w:eastAsia="方正仿宋_GBK" w:cs="方正仿宋_GBK"/>
                <w:b w:val="0"/>
                <w:bCs w:val="0"/>
                <w:snapToGrid w:val="0"/>
                <w:color w:val="auto"/>
                <w:spacing w:val="-5"/>
                <w:kern w:val="0"/>
                <w:sz w:val="21"/>
                <w:szCs w:val="21"/>
                <w:highlight w:val="none"/>
              </w:rPr>
              <w:t>向委托方报告利用处置情况</w:t>
            </w:r>
            <w:r>
              <w:rPr>
                <w:rFonts w:hint="eastAsia" w:ascii="方正仿宋_GBK" w:hAnsi="方正仿宋_GBK" w:eastAsia="方正仿宋_GBK" w:cs="方正仿宋_GBK"/>
                <w:b w:val="0"/>
                <w:bCs w:val="0"/>
                <w:snapToGrid w:val="0"/>
                <w:color w:val="auto"/>
                <w:spacing w:val="-5"/>
                <w:kern w:val="0"/>
                <w:sz w:val="21"/>
                <w:szCs w:val="21"/>
                <w:highlight w:val="none"/>
                <w:lang w:eastAsia="zh-CN"/>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rPr>
              <w:t>至少1次/年</w:t>
            </w:r>
            <w:r>
              <w:rPr>
                <w:rFonts w:hint="eastAsia" w:ascii="方正仿宋_GBK" w:hAnsi="方正仿宋_GBK" w:eastAsia="方正仿宋_GBK" w:cs="方正仿宋_GBK"/>
                <w:b w:val="0"/>
                <w:bCs w:val="0"/>
                <w:snapToGrid w:val="0"/>
                <w:color w:val="auto"/>
                <w:spacing w:val="-5"/>
                <w:kern w:val="0"/>
                <w:sz w:val="21"/>
                <w:szCs w:val="21"/>
                <w:highlight w:val="none"/>
              </w:rPr>
              <w:t>。</w:t>
            </w:r>
          </w:p>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（d）明确受托方转移</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、利用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处置一般工业固体废物执行的污染防治要求。</w:t>
            </w:r>
          </w:p>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（e）将核实受托方</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rPr>
              <w:t>或由受托方代为委托的服务方</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利用/处置一般工业固体废物能力的文件作为合同附件。</w:t>
            </w:r>
          </w:p>
        </w:tc>
        <w:tc>
          <w:tcPr>
            <w:tcW w:w="1119"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资料检查（查看合同材料）</w:t>
            </w:r>
          </w:p>
        </w:tc>
        <w:tc>
          <w:tcPr>
            <w:tcW w:w="68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891" w:hRule="atLeast"/>
          <w:jc w:val="center"/>
        </w:trPr>
        <w:tc>
          <w:tcPr>
            <w:tcW w:w="1630"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116"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66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3</w:t>
            </w:r>
          </w:p>
        </w:tc>
        <w:tc>
          <w:tcPr>
            <w:tcW w:w="696"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139" w:type="dxa"/>
            <w:gridSpan w:val="2"/>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7057"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一般工业固体废物利用或处置去向管理：</w:t>
            </w:r>
          </w:p>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3.</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rPr>
              <w:t>产生一般工业固体废物的规模以上、年产生量100吨及以上（近三年内）的企业</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，以及运输和接收一般工业固体废物的单位，按照实际转移情况如实填报一般工业固体废物转移联单。得2分。</w:t>
            </w:r>
          </w:p>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4.</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rPr>
              <w:t>产生单位</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应与受托方签订利用/处置合同；若受托方不具有利用/处置能力，受托方需向产生单位提供其与第三方签订的利用/处置合同。得1分。</w:t>
            </w:r>
          </w:p>
        </w:tc>
        <w:tc>
          <w:tcPr>
            <w:tcW w:w="1119"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资料检查（现场查看转移联单，并核对台账）</w:t>
            </w:r>
          </w:p>
        </w:tc>
        <w:tc>
          <w:tcPr>
            <w:tcW w:w="68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607" w:hRule="atLeast"/>
          <w:jc w:val="center"/>
        </w:trPr>
        <w:tc>
          <w:tcPr>
            <w:tcW w:w="1630" w:type="dxa"/>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116"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7.2.一般工业固体废物跨省贮存、利用、处置的，产生单位应依法履行备案、申请等程序。</w:t>
            </w:r>
          </w:p>
        </w:tc>
        <w:tc>
          <w:tcPr>
            <w:tcW w:w="66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w:t>
            </w:r>
          </w:p>
        </w:tc>
        <w:tc>
          <w:tcPr>
            <w:tcW w:w="696"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1139" w:type="dxa"/>
            <w:gridSpan w:val="2"/>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产废单位按规定完成一般工业固体废物出市辖区贮存、利用、处置的转移手续。</w:t>
            </w:r>
          </w:p>
        </w:tc>
        <w:tc>
          <w:tcPr>
            <w:tcW w:w="7057"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1.一般工业固体废物跨省贮存、利用、处置的，产生单位应在转移活动之前完成相关手续。得2分。</w:t>
            </w:r>
          </w:p>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注：一般工业固体废物跨省转移贮存、处置的，产生单位应完成申请及审批手续；一般工业固体废物跨省转移利用的，产生单位应完成备案手续。无跨省贮存、处置和利用的，本项制度不计分。</w:t>
            </w:r>
          </w:p>
        </w:tc>
        <w:tc>
          <w:tcPr>
            <w:tcW w:w="1119"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资料检查（查看合同材料及跨省转移申请、审批及备案等材料）</w:t>
            </w:r>
          </w:p>
        </w:tc>
        <w:tc>
          <w:tcPr>
            <w:tcW w:w="68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158" w:hRule="atLeast"/>
          <w:jc w:val="center"/>
        </w:trPr>
        <w:tc>
          <w:tcPr>
            <w:tcW w:w="163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八、产生单位内部管理</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《固废法》第十九条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第三十六条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116"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8.产废单位依法建立健全一般工业固废</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污染防治责任制度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加强设施设备</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及</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场所管理维护，</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确保其</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正常运</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行。</w:t>
            </w:r>
          </w:p>
        </w:tc>
        <w:tc>
          <w:tcPr>
            <w:tcW w:w="66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w:t>
            </w:r>
          </w:p>
        </w:tc>
        <w:tc>
          <w:tcPr>
            <w:tcW w:w="696"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1139" w:type="dxa"/>
            <w:gridSpan w:val="2"/>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建立了涵盖全过程的责任制度，负责人明确，责任分解清晰；责任人熟悉相关法律法规、制度标准等。</w:t>
            </w:r>
          </w:p>
        </w:tc>
        <w:tc>
          <w:tcPr>
            <w:tcW w:w="7057"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1.</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建立</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一般工业固体废物污染环境防治</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责任制度，明确</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责任部门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及</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责任人员</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2.</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安排固定人员负责一般工业固体废物材料</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档案管理，包括</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废物管理</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台账、委外运输/利用处置合同以及其他与一般工业固体废物污染防治相关</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材料；</w:t>
            </w:r>
          </w:p>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3.</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对管理人员和从事</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一般工业固体废物</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收集、运输、贮存、利用和处置等工作的人员进行培训</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4</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.建立一般工业固体废物日常现场检查工作机制，明确日常检查内容、检查时间与频次、检查结果等，对发现的问题及时督促整改</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以上每项符合得0.5分。</w:t>
            </w:r>
          </w:p>
        </w:tc>
        <w:tc>
          <w:tcPr>
            <w:tcW w:w="1119"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资料检查（查看</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污染环境防治</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责任制度</w:t>
            </w: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文件等相关材料）</w:t>
            </w:r>
          </w:p>
        </w:tc>
        <w:tc>
          <w:tcPr>
            <w:tcW w:w="68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100" w:hRule="atLeast"/>
          <w:jc w:val="center"/>
        </w:trPr>
        <w:tc>
          <w:tcPr>
            <w:tcW w:w="163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九、信息公开制度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《固废法》第二十九条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《企业环境信息依法披露管理办法》（生态环境部令第24号）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《企业环境信息依法披露格式准则》（环办综合〔2021〕32号）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116"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9.产废单位按</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照</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相关</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规定</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依法及时公开</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一般工业固体废物</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污染环境防治信息，主动接受社会监督</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66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jc w:val="center"/>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w:t>
            </w:r>
          </w:p>
        </w:tc>
        <w:tc>
          <w:tcPr>
            <w:tcW w:w="696"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jc w:val="center"/>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1139" w:type="dxa"/>
            <w:gridSpan w:val="2"/>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产废单位按规定公开一般工业固体废物的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产生、贮存、流向</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利用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和</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处置等信息</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7057"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通过</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公开</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网站、</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公众号或企业</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公告栏等途径，及时</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、准确</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公开一般工业固体废物产生、贮存、流向和利用处置等信息。</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得2分。</w:t>
            </w:r>
          </w:p>
        </w:tc>
        <w:tc>
          <w:tcPr>
            <w:tcW w:w="1119"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资料检查（查看</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公开信息，并与管理台账数据核对</w:t>
            </w:r>
            <w:r>
              <w:rPr>
                <w:rFonts w:hint="eastAsia" w:ascii="方正仿宋_GBK" w:hAnsi="方正仿宋_GBK" w:eastAsia="方正仿宋_GBK" w:cs="方正仿宋_GBK"/>
                <w:b w:val="0"/>
                <w:bCs w:val="0"/>
                <w:snapToGrid w:val="0"/>
                <w:color w:val="auto"/>
                <w:kern w:val="0"/>
                <w:sz w:val="21"/>
                <w:szCs w:val="21"/>
                <w:highlight w:val="none"/>
                <w:vertAlign w:val="baseline"/>
                <w:lang w:val="en-US" w:eastAsia="zh-CN"/>
                <w14:ligatures w14:val="none"/>
              </w:rPr>
              <w:t>）</w:t>
            </w:r>
          </w:p>
        </w:tc>
        <w:tc>
          <w:tcPr>
            <w:tcW w:w="68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2746" w:type="dxa"/>
            <w:gridSpan w:val="2"/>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合计</w:t>
            </w:r>
          </w:p>
        </w:tc>
        <w:tc>
          <w:tcPr>
            <w:tcW w:w="9557" w:type="dxa"/>
            <w:gridSpan w:val="5"/>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60</w:t>
            </w:r>
          </w:p>
        </w:tc>
        <w:tc>
          <w:tcPr>
            <w:tcW w:w="1799" w:type="dxa"/>
            <w:gridSpan w:val="2"/>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492" w:hRule="atLeast"/>
          <w:jc w:val="center"/>
        </w:trPr>
        <w:tc>
          <w:tcPr>
            <w:tcW w:w="163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加分项</w:t>
            </w:r>
          </w:p>
        </w:tc>
        <w:tc>
          <w:tcPr>
            <w:tcW w:w="10673" w:type="dxa"/>
            <w:gridSpan w:val="6"/>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80" w:lineRule="exact"/>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a.</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一般工业固体废物相关重点环节和关键节点应用</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视频监控的，加</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0.5</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分</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b</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未列入重庆市“清洁生产审核企业名单”的企业自愿开展清洁生产审核的，加0.5分。</w:t>
            </w:r>
          </w:p>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c.</w:t>
            </w:r>
            <w:r>
              <w:rPr>
                <w:rFonts w:hint="eastAsia" w:ascii="方正仿宋_GBK" w:hAnsi="方正仿宋_GBK" w:eastAsia="方正仿宋_GBK" w:cs="方正仿宋_GBK"/>
                <w:b w:val="0"/>
                <w:bCs w:val="0"/>
                <w:strike w:val="0"/>
                <w:snapToGrid w:val="0"/>
                <w:color w:val="auto"/>
                <w:spacing w:val="-5"/>
                <w:kern w:val="0"/>
                <w:sz w:val="21"/>
                <w:szCs w:val="21"/>
                <w:highlight w:val="none"/>
              </w:rPr>
              <w:t>按规定提交</w:t>
            </w:r>
            <w:r>
              <w:rPr>
                <w:rFonts w:hint="eastAsia" w:ascii="方正仿宋_GBK" w:hAnsi="方正仿宋_GBK" w:eastAsia="方正仿宋_GBK" w:cs="方正仿宋_GBK"/>
                <w:b w:val="0"/>
                <w:bCs w:val="0"/>
                <w:strike w:val="0"/>
                <w:snapToGrid w:val="0"/>
                <w:color w:val="auto"/>
                <w:spacing w:val="-5"/>
                <w:kern w:val="0"/>
                <w:sz w:val="21"/>
                <w:szCs w:val="21"/>
                <w:highlight w:val="none"/>
                <w:lang w:val="en-US" w:eastAsia="zh-CN"/>
              </w:rPr>
              <w:t>符合固废技术规范的</w:t>
            </w:r>
            <w:r>
              <w:rPr>
                <w:rFonts w:hint="eastAsia" w:ascii="方正仿宋_GBK" w:hAnsi="方正仿宋_GBK" w:eastAsia="方正仿宋_GBK" w:cs="方正仿宋_GBK"/>
                <w:b w:val="0"/>
                <w:bCs w:val="0"/>
                <w:strike w:val="0"/>
                <w:snapToGrid w:val="0"/>
                <w:color w:val="auto"/>
                <w:spacing w:val="-5"/>
                <w:kern w:val="0"/>
                <w:sz w:val="21"/>
                <w:szCs w:val="21"/>
                <w:highlight w:val="none"/>
              </w:rPr>
              <w:t>执行报告</w:t>
            </w:r>
            <w:r>
              <w:rPr>
                <w:rFonts w:hint="eastAsia" w:ascii="方正仿宋_GBK" w:hAnsi="方正仿宋_GBK" w:eastAsia="方正仿宋_GBK" w:cs="方正仿宋_GBK"/>
                <w:b w:val="0"/>
                <w:bCs w:val="0"/>
                <w:strike w:val="0"/>
                <w:snapToGrid w:val="0"/>
                <w:color w:val="auto"/>
                <w:spacing w:val="-5"/>
                <w:kern w:val="0"/>
                <w:sz w:val="21"/>
                <w:szCs w:val="21"/>
                <w:highlight w:val="none"/>
                <w:lang w:eastAsia="zh-CN"/>
              </w:rPr>
              <w:t>，</w:t>
            </w:r>
            <w:r>
              <w:rPr>
                <w:rFonts w:hint="eastAsia" w:ascii="方正仿宋_GBK" w:hAnsi="方正仿宋_GBK" w:eastAsia="方正仿宋_GBK" w:cs="方正仿宋_GBK"/>
                <w:b w:val="0"/>
                <w:bCs w:val="0"/>
                <w:strike w:val="0"/>
                <w:snapToGrid w:val="0"/>
                <w:color w:val="auto"/>
                <w:spacing w:val="-5"/>
                <w:kern w:val="0"/>
                <w:sz w:val="21"/>
                <w:szCs w:val="21"/>
                <w:highlight w:val="none"/>
                <w:lang w:val="en-US" w:eastAsia="zh-CN"/>
              </w:rPr>
              <w:t>且执行报告载明了</w:t>
            </w:r>
            <w:r>
              <w:rPr>
                <w:rFonts w:hint="eastAsia" w:ascii="方正仿宋_GBK" w:hAnsi="方正仿宋_GBK" w:eastAsia="方正仿宋_GBK" w:cs="方正仿宋_GBK"/>
                <w:b w:val="0"/>
                <w:bCs w:val="0"/>
                <w:strike w:val="0"/>
                <w:snapToGrid w:val="0"/>
                <w:color w:val="auto"/>
                <w:spacing w:val="-5"/>
                <w:kern w:val="0"/>
                <w:sz w:val="21"/>
                <w:szCs w:val="21"/>
                <w:highlight w:val="none"/>
              </w:rPr>
              <w:t>一般工业固体废物产生、贮存、利用、处置等信息</w:t>
            </w:r>
            <w:r>
              <w:rPr>
                <w:rFonts w:hint="eastAsia" w:ascii="方正仿宋_GBK" w:hAnsi="方正仿宋_GBK" w:eastAsia="方正仿宋_GBK" w:cs="方正仿宋_GBK"/>
                <w:b w:val="0"/>
                <w:bCs w:val="0"/>
                <w:strike w:val="0"/>
                <w:snapToGrid w:val="0"/>
                <w:color w:val="auto"/>
                <w:spacing w:val="-5"/>
                <w:kern w:val="0"/>
                <w:sz w:val="21"/>
                <w:szCs w:val="21"/>
                <w:highlight w:val="none"/>
                <w:lang w:val="en-US" w:eastAsia="zh-CN"/>
              </w:rPr>
              <w:t>的，加0.5分。</w:t>
            </w:r>
          </w:p>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d</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在核实一般工业固体废物利用处置能力过程中，到受托方开展实地考察的，加0.5分。</w:t>
            </w:r>
          </w:p>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e</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.投保环境污染责任保险的，加</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0.5</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分。</w:t>
            </w:r>
          </w:p>
        </w:tc>
        <w:tc>
          <w:tcPr>
            <w:tcW w:w="1119"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查阅相关资料、现场核查</w:t>
            </w:r>
          </w:p>
        </w:tc>
        <w:tc>
          <w:tcPr>
            <w:tcW w:w="68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150" w:hRule="atLeast"/>
          <w:jc w:val="center"/>
        </w:trPr>
        <w:tc>
          <w:tcPr>
            <w:tcW w:w="163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否决项</w:t>
            </w:r>
          </w:p>
        </w:tc>
        <w:tc>
          <w:tcPr>
            <w:tcW w:w="10673" w:type="dxa"/>
            <w:gridSpan w:val="6"/>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80" w:lineRule="exact"/>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a</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.擅自倾倒、堆放</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一般工业固体废物</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p>
            <w:pPr>
              <w:keepNext w:val="0"/>
              <w:keepLines w:val="0"/>
              <w:pageBreakBefore w:val="0"/>
              <w:widowControl/>
              <w:suppressLineNumbers w:val="0"/>
              <w:kinsoku/>
              <w:wordWrap/>
              <w:overflowPunct/>
              <w:topLinePunct w:val="0"/>
              <w:autoSpaceDE w:val="0"/>
              <w:autoSpaceDN w:val="0"/>
              <w:bidi w:val="0"/>
              <w:adjustRightInd w:val="0"/>
              <w:snapToGrid w:val="0"/>
              <w:spacing w:line="280" w:lineRule="exact"/>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b</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将一般工业固体废物</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提供或者委托</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给不具相应利用或处置能力的单位</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或其他生产经营者从事经营活动的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p>
            <w:pPr>
              <w:keepNext w:val="0"/>
              <w:keepLines w:val="0"/>
              <w:pageBreakBefore w:val="0"/>
              <w:widowControl/>
              <w:suppressLineNumbers w:val="0"/>
              <w:kinsoku/>
              <w:wordWrap/>
              <w:overflowPunct/>
              <w:topLinePunct w:val="0"/>
              <w:autoSpaceDE w:val="0"/>
              <w:autoSpaceDN w:val="0"/>
              <w:bidi w:val="0"/>
              <w:adjustRightInd w:val="0"/>
              <w:snapToGrid w:val="0"/>
              <w:spacing w:line="280" w:lineRule="exact"/>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c</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.未经批准擅自跨省（自治区、直辖市）转移</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一般工业固体废物</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d</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.由于</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一般工业固体</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废物管理不当导致突发环境事件发生的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119"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现场核查</w:t>
            </w:r>
          </w:p>
        </w:tc>
        <w:tc>
          <w:tcPr>
            <w:tcW w:w="68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right="0"/>
              <w:jc w:val="center"/>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163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综合评估</w:t>
            </w:r>
          </w:p>
        </w:tc>
        <w:tc>
          <w:tcPr>
            <w:tcW w:w="3455" w:type="dxa"/>
            <w:gridSpan w:val="4"/>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评估得分：</w:t>
            </w:r>
          </w:p>
        </w:tc>
        <w:tc>
          <w:tcPr>
            <w:tcW w:w="7218" w:type="dxa"/>
            <w:gridSpan w:val="2"/>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达标情况：               达标</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sym w:font="Wingdings 2" w:char="00A3"/>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 xml:space="preserve">               基本达标</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sym w:font="Wingdings 2" w:char="00A3"/>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 xml:space="preserve">               不达标</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sym w:font="Wingdings 2" w:char="00A3"/>
            </w:r>
          </w:p>
        </w:tc>
        <w:tc>
          <w:tcPr>
            <w:tcW w:w="1799" w:type="dxa"/>
            <w:gridSpan w:val="2"/>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198" w:hRule="atLeast"/>
          <w:jc w:val="center"/>
        </w:trPr>
        <w:tc>
          <w:tcPr>
            <w:tcW w:w="1630" w:type="dxa"/>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80" w:lineRule="exact"/>
              <w:jc w:val="center"/>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说明</w:t>
            </w:r>
          </w:p>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673" w:type="dxa"/>
            <w:gridSpan w:val="6"/>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80" w:lineRule="exact"/>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1.工作组应当至少包括2名具有环境执法证件的人员，可邀请专家参与检查。评估人员与企业存在直接利益关系的，应当主动申请回避；</w:t>
            </w:r>
          </w:p>
          <w:p>
            <w:pPr>
              <w:keepNext w:val="0"/>
              <w:keepLines w:val="0"/>
              <w:pageBreakBefore w:val="0"/>
              <w:widowControl/>
              <w:suppressLineNumbers w:val="0"/>
              <w:kinsoku/>
              <w:wordWrap/>
              <w:overflowPunct/>
              <w:topLinePunct w:val="0"/>
              <w:autoSpaceDE w:val="0"/>
              <w:autoSpaceDN w:val="0"/>
              <w:bidi w:val="0"/>
              <w:adjustRightInd w:val="0"/>
              <w:snapToGrid w:val="0"/>
              <w:spacing w:line="280" w:lineRule="exact"/>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2.评估人员要做好记录并签字；</w:t>
            </w:r>
          </w:p>
          <w:p>
            <w:pPr>
              <w:keepNext w:val="0"/>
              <w:keepLines w:val="0"/>
              <w:pageBreakBefore w:val="0"/>
              <w:widowControl/>
              <w:suppressLineNumbers w:val="0"/>
              <w:kinsoku/>
              <w:wordWrap/>
              <w:overflowPunct/>
              <w:topLinePunct w:val="0"/>
              <w:autoSpaceDE w:val="0"/>
              <w:autoSpaceDN w:val="0"/>
              <w:bidi w:val="0"/>
              <w:adjustRightInd w:val="0"/>
              <w:snapToGrid w:val="0"/>
              <w:spacing w:line="280" w:lineRule="exact"/>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3.对一般工业固体废物流向、贮存、利用、处置等信息，要核查原始凭证；</w:t>
            </w:r>
          </w:p>
          <w:p>
            <w:pPr>
              <w:keepNext w:val="0"/>
              <w:keepLines w:val="0"/>
              <w:pageBreakBefore w:val="0"/>
              <w:widowControl/>
              <w:suppressLineNumbers w:val="0"/>
              <w:kinsoku/>
              <w:wordWrap/>
              <w:overflowPunct/>
              <w:topLinePunct w:val="0"/>
              <w:autoSpaceDE w:val="0"/>
              <w:autoSpaceDN w:val="0"/>
              <w:bidi w:val="0"/>
              <w:adjustRightInd w:val="0"/>
              <w:snapToGrid w:val="0"/>
              <w:spacing w:line="280" w:lineRule="exact"/>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4.根据评分要点给出得分；</w:t>
            </w:r>
          </w:p>
          <w:p>
            <w:pPr>
              <w:keepNext w:val="0"/>
              <w:keepLines w:val="0"/>
              <w:pageBreakBefore w:val="0"/>
              <w:widowControl/>
              <w:suppressLineNumbers w:val="0"/>
              <w:kinsoku/>
              <w:wordWrap/>
              <w:overflowPunct/>
              <w:topLinePunct w:val="0"/>
              <w:autoSpaceDE w:val="0"/>
              <w:autoSpaceDN w:val="0"/>
              <w:bidi w:val="0"/>
              <w:adjustRightInd w:val="0"/>
              <w:snapToGrid w:val="0"/>
              <w:spacing w:line="280" w:lineRule="exact"/>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5.备注栏可对评估情况进行简要记录；</w:t>
            </w:r>
          </w:p>
          <w:p>
            <w:pPr>
              <w:keepNext w:val="0"/>
              <w:keepLines w:val="0"/>
              <w:pageBreakBefore w:val="0"/>
              <w:widowControl/>
              <w:suppressLineNumbers w:val="0"/>
              <w:kinsoku/>
              <w:wordWrap/>
              <w:overflowPunct/>
              <w:topLinePunct w:val="0"/>
              <w:autoSpaceDE w:val="0"/>
              <w:autoSpaceDN w:val="0"/>
              <w:bidi w:val="0"/>
              <w:adjustRightInd w:val="0"/>
              <w:snapToGrid w:val="0"/>
              <w:spacing w:line="280" w:lineRule="exact"/>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6.加分项目以当年是否开展为准；</w:t>
            </w:r>
          </w:p>
          <w:p>
            <w:pPr>
              <w:keepNext w:val="0"/>
              <w:keepLines w:val="0"/>
              <w:pageBreakBefore w:val="0"/>
              <w:widowControl/>
              <w:suppressLineNumbers w:val="0"/>
              <w:kinsoku/>
              <w:wordWrap/>
              <w:overflowPunct/>
              <w:topLinePunct w:val="0"/>
              <w:autoSpaceDE w:val="0"/>
              <w:autoSpaceDN w:val="0"/>
              <w:bidi w:val="0"/>
              <w:adjustRightInd w:val="0"/>
              <w:snapToGrid w:val="0"/>
              <w:spacing w:line="280" w:lineRule="exact"/>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7.否决项，即该项不得分，则评估结果为不达标；</w:t>
            </w:r>
          </w:p>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8.综合评估标准：</w:t>
            </w:r>
          </w:p>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（a）无自行利用或处置设施（含尾矿库）的产废单位满分为40分，32（含）</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sym w:font="Symbol" w:char="002D"/>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40分为达标，24（含）</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sym w:font="Symbol" w:char="002D"/>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32分为基本达标，24分以下为不达标。</w:t>
            </w:r>
          </w:p>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（b）有自行利用或处置设施（含尾矿库）的产废单位满分为60分，48（含）</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sym w:font="Symbol" w:char="002D"/>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60分为达标，36（含）</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sym w:font="Symbol" w:char="002D"/>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48分为基本达标，36分以下为不达标。</w:t>
            </w:r>
          </w:p>
        </w:tc>
        <w:tc>
          <w:tcPr>
            <w:tcW w:w="1799" w:type="dxa"/>
            <w:gridSpan w:val="2"/>
            <w:shd w:val="clear" w:color="auto" w:fill="auto"/>
            <w:vAlign w:val="center"/>
          </w:tcPr>
          <w:p>
            <w:pPr>
              <w:keepNext w:val="0"/>
              <w:keepLines w:val="0"/>
              <w:pageBreakBefore w:val="0"/>
              <w:widowControl/>
              <w:kinsoku/>
              <w:wordWrap/>
              <w:overflowPunct/>
              <w:topLinePunct w:val="0"/>
              <w:autoSpaceDE w:val="0"/>
              <w:autoSpaceDN w:val="0"/>
              <w:bidi w:val="0"/>
              <w:adjustRightInd w:val="0"/>
              <w:snapToGrid w:val="0"/>
              <w:spacing w:line="280" w:lineRule="exact"/>
              <w:ind w:left="0" w:leftChars="0" w:right="0" w:rightChars="0"/>
              <w:jc w:val="both"/>
              <w:textAlignment w:val="baseline"/>
              <w:outlineLvl w:val="9"/>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r>
    </w:tbl>
    <w:p>
      <w:pPr>
        <w:spacing w:line="240" w:lineRule="auto"/>
        <w:jc w:val="left"/>
        <w:rPr>
          <w:rFonts w:ascii="Times New Roman" w:hAnsi="Times New Roman" w:eastAsia="方正仿宋_GBK" w:cs="Times New Roman"/>
          <w:b w:val="0"/>
          <w:bCs w:val="0"/>
          <w:color w:val="auto"/>
          <w:szCs w:val="21"/>
          <w:highlight w:val="none"/>
        </w:rPr>
      </w:pPr>
      <w:r>
        <w:rPr>
          <w:rFonts w:ascii="Times New Roman" w:hAnsi="Times New Roman" w:eastAsia="方正仿宋_GBK" w:cs="Times New Roman"/>
          <w:b w:val="0"/>
          <w:bCs w:val="0"/>
          <w:color w:val="auto"/>
          <w:szCs w:val="21"/>
          <w:highlight w:val="none"/>
        </w:rPr>
        <w:br w:type="page"/>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jc w:val="left"/>
        <w:textAlignment w:val="baseline"/>
        <w:outlineLvl w:val="9"/>
        <w:rPr>
          <w:rFonts w:hint="default" w:ascii="方正黑体_GBK" w:hAnsi="方正黑体_GBK" w:eastAsia="方正黑体_GBK" w:cs="方正黑体_GBK"/>
          <w:b w:val="0"/>
          <w:bCs w:val="0"/>
          <w:snapToGrid w:val="0"/>
          <w:color w:val="auto"/>
          <w:spacing w:val="-3"/>
          <w:kern w:val="0"/>
          <w:sz w:val="32"/>
          <w:szCs w:val="32"/>
          <w:highlight w:val="none"/>
          <w:lang w:val="en-US" w:eastAsia="zh-CN"/>
          <w14:ligatures w14:val="none"/>
        </w:rPr>
      </w:pPr>
      <w:r>
        <w:rPr>
          <w:rFonts w:hint="eastAsia" w:ascii="方正黑体_GBK" w:hAnsi="方正黑体_GBK" w:eastAsia="方正黑体_GBK" w:cs="方正黑体_GBK"/>
          <w:b w:val="0"/>
          <w:bCs w:val="0"/>
          <w:snapToGrid w:val="0"/>
          <w:color w:val="auto"/>
          <w:spacing w:val="-3"/>
          <w:kern w:val="0"/>
          <w:sz w:val="32"/>
          <w:szCs w:val="32"/>
          <w:highlight w:val="none"/>
          <w:lang w:eastAsia="en-US"/>
          <w14:ligatures w14:val="none"/>
        </w:rPr>
        <w:t>附</w:t>
      </w:r>
      <w:r>
        <w:rPr>
          <w:rFonts w:hint="eastAsia" w:ascii="方正黑体_GBK" w:hAnsi="方正黑体_GBK" w:eastAsia="方正黑体_GBK" w:cs="方正黑体_GBK"/>
          <w:b w:val="0"/>
          <w:bCs w:val="0"/>
          <w:snapToGrid w:val="0"/>
          <w:color w:val="auto"/>
          <w:spacing w:val="-3"/>
          <w:kern w:val="0"/>
          <w:sz w:val="32"/>
          <w:szCs w:val="32"/>
          <w:highlight w:val="none"/>
          <w:lang w:val="en-US" w:eastAsia="zh-CN"/>
          <w14:ligatures w14:val="none"/>
        </w:rPr>
        <w:t>件2</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Autospacing="0" w:line="560" w:lineRule="exact"/>
        <w:jc w:val="center"/>
        <w:textAlignment w:val="baseline"/>
        <w:outlineLvl w:val="9"/>
        <w:rPr>
          <w:rFonts w:hint="eastAsia" w:ascii="方正小标宋_GBK" w:hAnsi="方正小标宋_GBK" w:eastAsia="方正小标宋_GBK" w:cs="方正小标宋_GBK"/>
          <w:b w:val="0"/>
          <w:bCs w:val="0"/>
          <w:snapToGrid w:val="0"/>
          <w:color w:val="auto"/>
          <w:spacing w:val="7"/>
          <w:kern w:val="0"/>
          <w:sz w:val="44"/>
          <w:szCs w:val="44"/>
          <w:highlight w:val="none"/>
          <w:lang w:val="en-US" w:eastAsia="en-US" w:bidi="ar"/>
          <w14:ligatures w14:val="none"/>
        </w:rPr>
      </w:pPr>
      <w:r>
        <w:rPr>
          <w:rFonts w:hint="eastAsia" w:ascii="方正小标宋_GBK" w:hAnsi="方正小标宋_GBK" w:eastAsia="方正小标宋_GBK" w:cs="方正小标宋_GBK"/>
          <w:b w:val="0"/>
          <w:bCs w:val="0"/>
          <w:snapToGrid w:val="0"/>
          <w:color w:val="auto"/>
          <w:spacing w:val="7"/>
          <w:kern w:val="0"/>
          <w:sz w:val="44"/>
          <w:szCs w:val="44"/>
          <w:highlight w:val="none"/>
          <w:lang w:val="en-US" w:eastAsia="en-US" w:bidi="ar"/>
          <w14:ligatures w14:val="none"/>
        </w:rPr>
        <w:t>被评估单位情况记录表</w:t>
      </w:r>
    </w:p>
    <w:p>
      <w:pPr>
        <w:pStyle w:val="2"/>
        <w:pageBreakBefore w:val="0"/>
        <w:wordWrap/>
        <w:overflowPunct/>
        <w:topLinePunct w:val="0"/>
        <w:bidi w:val="0"/>
        <w:spacing w:before="0" w:beforeAutospacing="0" w:after="0" w:afterAutospacing="0" w:line="560" w:lineRule="exact"/>
        <w:rPr>
          <w:rFonts w:hint="eastAsia"/>
          <w:color w:val="auto"/>
          <w:lang w:eastAsia="en-US"/>
        </w:rPr>
      </w:pPr>
    </w:p>
    <w:tbl>
      <w:tblPr>
        <w:tblStyle w:val="18"/>
        <w:tblW w:w="140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174"/>
        <w:gridCol w:w="1213"/>
        <w:gridCol w:w="2378"/>
        <w:gridCol w:w="3013"/>
        <w:gridCol w:w="3151"/>
        <w:gridCol w:w="1117"/>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858" w:type="dxa"/>
            <w:vAlign w:val="center"/>
          </w:tcPr>
          <w:p>
            <w:pPr>
              <w:spacing w:before="157" w:beforeLines="50" w:line="360" w:lineRule="auto"/>
              <w:jc w:val="center"/>
              <w:rPr>
                <w:rFonts w:hint="default" w:ascii="Times New Roman" w:hAnsi="Times New Roman" w:eastAsia="方正仿宋_GBK" w:cs="Times New Roman"/>
                <w:b w:val="0"/>
                <w:bCs w:val="0"/>
                <w:color w:val="auto"/>
                <w:szCs w:val="21"/>
                <w:highlight w:val="none"/>
                <w:vertAlign w:val="baseline"/>
                <w:lang w:val="en-US" w:eastAsia="zh-CN"/>
              </w:rPr>
            </w:pPr>
            <w:r>
              <w:rPr>
                <w:rFonts w:hint="eastAsia" w:ascii="Times New Roman" w:hAnsi="Times New Roman" w:eastAsia="方正仿宋_GBK" w:cs="Times New Roman"/>
                <w:b w:val="0"/>
                <w:bCs w:val="0"/>
                <w:color w:val="auto"/>
                <w:szCs w:val="21"/>
                <w:highlight w:val="none"/>
                <w:vertAlign w:val="baseline"/>
                <w:lang w:val="en-US" w:eastAsia="zh-CN"/>
              </w:rPr>
              <w:t>序号</w:t>
            </w:r>
          </w:p>
        </w:tc>
        <w:tc>
          <w:tcPr>
            <w:tcW w:w="1174" w:type="dxa"/>
            <w:vAlign w:val="center"/>
          </w:tcPr>
          <w:p>
            <w:pPr>
              <w:spacing w:before="157" w:beforeLines="50" w:line="360" w:lineRule="auto"/>
              <w:jc w:val="center"/>
              <w:rPr>
                <w:rFonts w:hint="default" w:ascii="Times New Roman" w:hAnsi="Times New Roman" w:eastAsia="方正仿宋_GBK" w:cs="Times New Roman"/>
                <w:b w:val="0"/>
                <w:bCs w:val="0"/>
                <w:color w:val="auto"/>
                <w:szCs w:val="21"/>
                <w:highlight w:val="none"/>
                <w:vertAlign w:val="baseline"/>
                <w:lang w:val="en-US" w:eastAsia="zh-CN"/>
              </w:rPr>
            </w:pPr>
            <w:r>
              <w:rPr>
                <w:rFonts w:hint="eastAsia" w:ascii="Times New Roman" w:hAnsi="Times New Roman" w:eastAsia="方正仿宋_GBK" w:cs="Times New Roman"/>
                <w:b w:val="0"/>
                <w:bCs w:val="0"/>
                <w:color w:val="auto"/>
                <w:szCs w:val="21"/>
                <w:highlight w:val="none"/>
                <w:vertAlign w:val="baseline"/>
                <w:lang w:val="en-US" w:eastAsia="zh-CN"/>
              </w:rPr>
              <w:t>单位名称</w:t>
            </w:r>
          </w:p>
        </w:tc>
        <w:tc>
          <w:tcPr>
            <w:tcW w:w="1213" w:type="dxa"/>
            <w:vAlign w:val="center"/>
          </w:tcPr>
          <w:p>
            <w:pPr>
              <w:spacing w:before="157" w:beforeLines="50" w:line="360" w:lineRule="auto"/>
              <w:jc w:val="center"/>
              <w:rPr>
                <w:rFonts w:hint="default" w:ascii="Times New Roman" w:hAnsi="Times New Roman" w:eastAsia="方正仿宋_GBK" w:cs="Times New Roman"/>
                <w:b w:val="0"/>
                <w:bCs w:val="0"/>
                <w:color w:val="auto"/>
                <w:szCs w:val="21"/>
                <w:highlight w:val="none"/>
                <w:vertAlign w:val="baseline"/>
                <w:lang w:val="en-US" w:eastAsia="zh-CN"/>
              </w:rPr>
            </w:pPr>
            <w:r>
              <w:rPr>
                <w:rFonts w:hint="eastAsia" w:ascii="Times New Roman" w:hAnsi="Times New Roman" w:eastAsia="方正仿宋_GBK" w:cs="Times New Roman"/>
                <w:b w:val="0"/>
                <w:bCs w:val="0"/>
                <w:color w:val="auto"/>
                <w:szCs w:val="21"/>
                <w:highlight w:val="none"/>
                <w:vertAlign w:val="baseline"/>
                <w:lang w:val="en-US" w:eastAsia="zh-CN"/>
              </w:rPr>
              <w:t>评估时间</w:t>
            </w:r>
          </w:p>
        </w:tc>
        <w:tc>
          <w:tcPr>
            <w:tcW w:w="2378" w:type="dxa"/>
            <w:vAlign w:val="center"/>
          </w:tcPr>
          <w:p>
            <w:pPr>
              <w:spacing w:before="157" w:beforeLines="50" w:line="360" w:lineRule="auto"/>
              <w:jc w:val="center"/>
              <w:rPr>
                <w:rFonts w:hint="default" w:ascii="Times New Roman" w:hAnsi="Times New Roman" w:eastAsia="方正仿宋_GBK" w:cs="Times New Roman"/>
                <w:b w:val="0"/>
                <w:bCs w:val="0"/>
                <w:color w:val="auto"/>
                <w:szCs w:val="21"/>
                <w:highlight w:val="none"/>
                <w:vertAlign w:val="baseline"/>
                <w:lang w:val="en-US" w:eastAsia="zh-CN"/>
              </w:rPr>
            </w:pPr>
            <w:r>
              <w:rPr>
                <w:rFonts w:hint="eastAsia" w:ascii="Times New Roman" w:hAnsi="Times New Roman" w:eastAsia="方正仿宋_GBK" w:cs="Times New Roman"/>
                <w:b w:val="0"/>
                <w:bCs w:val="0"/>
                <w:color w:val="auto"/>
                <w:szCs w:val="21"/>
                <w:highlight w:val="none"/>
                <w:vertAlign w:val="baseline"/>
                <w:lang w:val="en-US" w:eastAsia="zh-CN"/>
              </w:rPr>
              <w:t>单位基本情况</w:t>
            </w:r>
          </w:p>
        </w:tc>
        <w:tc>
          <w:tcPr>
            <w:tcW w:w="3013" w:type="dxa"/>
            <w:vAlign w:val="center"/>
          </w:tcPr>
          <w:p>
            <w:pPr>
              <w:spacing w:before="157" w:beforeLines="50" w:line="360" w:lineRule="auto"/>
              <w:jc w:val="center"/>
              <w:rPr>
                <w:rFonts w:hint="default" w:ascii="Times New Roman" w:hAnsi="Times New Roman" w:eastAsia="方正仿宋_GBK" w:cs="Times New Roman"/>
                <w:b w:val="0"/>
                <w:bCs w:val="0"/>
                <w:color w:val="auto"/>
                <w:szCs w:val="21"/>
                <w:highlight w:val="none"/>
                <w:vertAlign w:val="baseline"/>
                <w:lang w:val="en-US" w:eastAsia="zh-CN"/>
              </w:rPr>
            </w:pPr>
            <w:r>
              <w:rPr>
                <w:rFonts w:hint="eastAsia" w:ascii="Times New Roman" w:hAnsi="Times New Roman" w:eastAsia="方正仿宋_GBK" w:cs="Times New Roman"/>
                <w:b w:val="0"/>
                <w:bCs w:val="0"/>
                <w:color w:val="auto"/>
                <w:szCs w:val="21"/>
                <w:highlight w:val="none"/>
                <w:vertAlign w:val="baseline"/>
                <w:lang w:val="en-US" w:eastAsia="zh-CN"/>
              </w:rPr>
              <w:t>一般工业固体废物产生情况</w:t>
            </w:r>
          </w:p>
        </w:tc>
        <w:tc>
          <w:tcPr>
            <w:tcW w:w="3151" w:type="dxa"/>
            <w:vAlign w:val="center"/>
          </w:tcPr>
          <w:p>
            <w:pPr>
              <w:spacing w:before="157" w:beforeLines="50" w:line="360" w:lineRule="auto"/>
              <w:jc w:val="center"/>
              <w:rPr>
                <w:rFonts w:hint="default" w:ascii="Times New Roman" w:hAnsi="Times New Roman" w:eastAsia="方正仿宋_GBK" w:cs="Times New Roman"/>
                <w:b w:val="0"/>
                <w:bCs w:val="0"/>
                <w:color w:val="auto"/>
                <w:szCs w:val="21"/>
                <w:highlight w:val="none"/>
                <w:vertAlign w:val="baseline"/>
                <w:lang w:val="en-US" w:eastAsia="zh-CN"/>
              </w:rPr>
            </w:pPr>
            <w:r>
              <w:rPr>
                <w:rFonts w:hint="eastAsia" w:ascii="Times New Roman" w:hAnsi="Times New Roman" w:eastAsia="方正仿宋_GBK" w:cs="Times New Roman"/>
                <w:b w:val="0"/>
                <w:bCs w:val="0"/>
                <w:color w:val="auto"/>
                <w:szCs w:val="21"/>
                <w:highlight w:val="none"/>
                <w:vertAlign w:val="baseline"/>
                <w:lang w:val="en-US" w:eastAsia="zh-CN"/>
              </w:rPr>
              <w:t>评估发现的问题</w:t>
            </w:r>
          </w:p>
        </w:tc>
        <w:tc>
          <w:tcPr>
            <w:tcW w:w="1117" w:type="dxa"/>
            <w:vAlign w:val="center"/>
          </w:tcPr>
          <w:p>
            <w:pPr>
              <w:spacing w:before="157" w:beforeLines="50" w:line="360" w:lineRule="auto"/>
              <w:jc w:val="center"/>
              <w:rPr>
                <w:rFonts w:hint="default" w:ascii="Times New Roman" w:hAnsi="Times New Roman" w:eastAsia="方正仿宋_GBK" w:cs="Times New Roman"/>
                <w:b w:val="0"/>
                <w:bCs w:val="0"/>
                <w:color w:val="auto"/>
                <w:szCs w:val="21"/>
                <w:highlight w:val="none"/>
                <w:vertAlign w:val="baseline"/>
                <w:lang w:val="en-US" w:eastAsia="zh-CN"/>
              </w:rPr>
            </w:pPr>
            <w:r>
              <w:rPr>
                <w:rFonts w:hint="eastAsia" w:ascii="Times New Roman" w:hAnsi="Times New Roman" w:eastAsia="方正仿宋_GBK" w:cs="Times New Roman"/>
                <w:b w:val="0"/>
                <w:bCs w:val="0"/>
                <w:color w:val="auto"/>
                <w:szCs w:val="21"/>
                <w:highlight w:val="none"/>
                <w:vertAlign w:val="baseline"/>
                <w:lang w:val="en-US" w:eastAsia="zh-CN"/>
              </w:rPr>
              <w:t>备注</w:t>
            </w:r>
          </w:p>
        </w:tc>
        <w:tc>
          <w:tcPr>
            <w:tcW w:w="1194" w:type="dxa"/>
            <w:vAlign w:val="center"/>
          </w:tcPr>
          <w:p>
            <w:pPr>
              <w:spacing w:before="157" w:beforeLines="50" w:line="360" w:lineRule="auto"/>
              <w:jc w:val="center"/>
              <w:rPr>
                <w:rFonts w:hint="default" w:ascii="Times New Roman" w:hAnsi="Times New Roman" w:eastAsia="方正仿宋_GBK" w:cs="Times New Roman"/>
                <w:b w:val="0"/>
                <w:bCs w:val="0"/>
                <w:color w:val="auto"/>
                <w:szCs w:val="21"/>
                <w:highlight w:val="none"/>
                <w:vertAlign w:val="baseline"/>
                <w:lang w:val="en-US" w:eastAsia="zh-CN"/>
              </w:rPr>
            </w:pPr>
            <w:r>
              <w:rPr>
                <w:rFonts w:hint="eastAsia" w:ascii="Times New Roman" w:hAnsi="Times New Roman" w:eastAsia="方正仿宋_GBK" w:cs="Times New Roman"/>
                <w:b w:val="0"/>
                <w:bCs w:val="0"/>
                <w:color w:val="auto"/>
                <w:szCs w:val="21"/>
                <w:highlight w:val="none"/>
                <w:vertAlign w:val="baseline"/>
                <w:lang w:val="en-US" w:eastAsia="zh-CN"/>
              </w:rPr>
              <w:t>评估人员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858" w:type="dxa"/>
            <w:vAlign w:val="center"/>
          </w:tcPr>
          <w:p>
            <w:pPr>
              <w:spacing w:line="240" w:lineRule="auto"/>
              <w:jc w:val="center"/>
              <w:rPr>
                <w:rFonts w:hint="default" w:ascii="Times New Roman" w:hAnsi="Times New Roman" w:eastAsia="方正仿宋_GBK" w:cs="Times New Roman"/>
                <w:b w:val="0"/>
                <w:bCs w:val="0"/>
                <w:color w:val="auto"/>
                <w:szCs w:val="21"/>
                <w:highlight w:val="none"/>
                <w:vertAlign w:val="baseline"/>
                <w:lang w:val="en-US" w:eastAsia="zh-CN"/>
              </w:rPr>
            </w:pPr>
            <w:r>
              <w:rPr>
                <w:rFonts w:hint="eastAsia" w:ascii="Times New Roman" w:hAnsi="Times New Roman" w:eastAsia="方正仿宋_GBK" w:cs="Times New Roman"/>
                <w:b w:val="0"/>
                <w:bCs w:val="0"/>
                <w:color w:val="auto"/>
                <w:szCs w:val="21"/>
                <w:highlight w:val="none"/>
                <w:vertAlign w:val="baseline"/>
                <w:lang w:val="en-US" w:eastAsia="zh-CN"/>
              </w:rPr>
              <w:t>1</w:t>
            </w:r>
          </w:p>
        </w:tc>
        <w:tc>
          <w:tcPr>
            <w:tcW w:w="1174" w:type="dxa"/>
            <w:vAlign w:val="center"/>
          </w:tcPr>
          <w:p>
            <w:pPr>
              <w:spacing w:line="240" w:lineRule="auto"/>
              <w:jc w:val="center"/>
              <w:rPr>
                <w:rFonts w:hint="default" w:ascii="Times New Roman" w:hAnsi="Times New Roman" w:eastAsia="方正仿宋_GBK" w:cs="Times New Roman"/>
                <w:b w:val="0"/>
                <w:bCs w:val="0"/>
                <w:color w:val="auto"/>
                <w:szCs w:val="21"/>
                <w:highlight w:val="none"/>
                <w:vertAlign w:val="baseline"/>
                <w:lang w:val="en-US" w:eastAsia="zh-CN"/>
              </w:rPr>
            </w:pPr>
          </w:p>
        </w:tc>
        <w:tc>
          <w:tcPr>
            <w:tcW w:w="1213" w:type="dxa"/>
            <w:vAlign w:val="center"/>
          </w:tcPr>
          <w:p>
            <w:pPr>
              <w:spacing w:line="240" w:lineRule="auto"/>
              <w:jc w:val="center"/>
              <w:rPr>
                <w:rFonts w:hint="default" w:ascii="Times New Roman" w:hAnsi="Times New Roman" w:eastAsia="方正仿宋_GBK" w:cs="Times New Roman"/>
                <w:b w:val="0"/>
                <w:bCs w:val="0"/>
                <w:color w:val="auto"/>
                <w:szCs w:val="21"/>
                <w:highlight w:val="none"/>
                <w:vertAlign w:val="baseline"/>
                <w:lang w:val="en-US" w:eastAsia="zh-CN"/>
              </w:rPr>
            </w:pPr>
          </w:p>
        </w:tc>
        <w:tc>
          <w:tcPr>
            <w:tcW w:w="2378" w:type="dxa"/>
            <w:vAlign w:val="center"/>
          </w:tcPr>
          <w:p>
            <w:pPr>
              <w:spacing w:line="240" w:lineRule="auto"/>
              <w:jc w:val="center"/>
              <w:rPr>
                <w:rFonts w:hint="default" w:ascii="Times New Roman" w:hAnsi="Times New Roman" w:eastAsia="方正仿宋_GBK" w:cs="Times New Roman"/>
                <w:b w:val="0"/>
                <w:bCs w:val="0"/>
                <w:color w:val="auto"/>
                <w:szCs w:val="21"/>
                <w:highlight w:val="none"/>
                <w:vertAlign w:val="baseline"/>
                <w:lang w:val="en-US" w:eastAsia="zh-CN"/>
              </w:rPr>
            </w:pPr>
            <w:r>
              <w:rPr>
                <w:rFonts w:hint="eastAsia" w:ascii="Times New Roman" w:hAnsi="Times New Roman" w:eastAsia="方正仿宋_GBK" w:cs="Times New Roman"/>
                <w:b w:val="0"/>
                <w:bCs w:val="0"/>
                <w:color w:val="auto"/>
                <w:szCs w:val="21"/>
                <w:highlight w:val="none"/>
                <w:vertAlign w:val="baseline"/>
                <w:lang w:val="en-US" w:eastAsia="zh-CN"/>
              </w:rPr>
              <w:t>（主要产品产量、简单工艺描述）</w:t>
            </w:r>
          </w:p>
        </w:tc>
        <w:tc>
          <w:tcPr>
            <w:tcW w:w="3013" w:type="dxa"/>
            <w:vAlign w:val="center"/>
          </w:tcPr>
          <w:p>
            <w:pPr>
              <w:spacing w:line="240" w:lineRule="auto"/>
              <w:jc w:val="center"/>
              <w:rPr>
                <w:rFonts w:hint="default" w:ascii="Times New Roman" w:hAnsi="Times New Roman" w:eastAsia="方正仿宋_GBK" w:cs="Times New Roman"/>
                <w:b w:val="0"/>
                <w:bCs w:val="0"/>
                <w:color w:val="auto"/>
                <w:szCs w:val="21"/>
                <w:highlight w:val="none"/>
                <w:vertAlign w:val="baseline"/>
                <w:lang w:val="en-US" w:eastAsia="zh-CN"/>
              </w:rPr>
            </w:pPr>
            <w:r>
              <w:rPr>
                <w:rFonts w:hint="eastAsia" w:ascii="Times New Roman" w:hAnsi="Times New Roman" w:eastAsia="方正仿宋_GBK" w:cs="Times New Roman"/>
                <w:b w:val="0"/>
                <w:bCs w:val="0"/>
                <w:color w:val="auto"/>
                <w:szCs w:val="21"/>
                <w:highlight w:val="none"/>
                <w:vertAlign w:val="baseline"/>
                <w:lang w:val="en-US" w:eastAsia="zh-CN"/>
              </w:rPr>
              <w:t>（一般工业固体废物种类和大致产生量）</w:t>
            </w:r>
          </w:p>
        </w:tc>
        <w:tc>
          <w:tcPr>
            <w:tcW w:w="3151" w:type="dxa"/>
            <w:vAlign w:val="center"/>
          </w:tcPr>
          <w:p>
            <w:pPr>
              <w:spacing w:line="240" w:lineRule="auto"/>
              <w:jc w:val="center"/>
              <w:rPr>
                <w:rFonts w:hint="default" w:ascii="Times New Roman" w:hAnsi="Times New Roman" w:eastAsia="方正仿宋_GBK" w:cs="Times New Roman"/>
                <w:b w:val="0"/>
                <w:bCs w:val="0"/>
                <w:color w:val="auto"/>
                <w:szCs w:val="21"/>
                <w:highlight w:val="none"/>
                <w:vertAlign w:val="baseline"/>
                <w:lang w:val="en-US" w:eastAsia="zh-CN"/>
              </w:rPr>
            </w:pPr>
          </w:p>
        </w:tc>
        <w:tc>
          <w:tcPr>
            <w:tcW w:w="1117" w:type="dxa"/>
            <w:vAlign w:val="center"/>
          </w:tcPr>
          <w:p>
            <w:pPr>
              <w:spacing w:line="240" w:lineRule="auto"/>
              <w:jc w:val="center"/>
              <w:rPr>
                <w:rFonts w:hint="default" w:ascii="Times New Roman" w:hAnsi="Times New Roman" w:eastAsia="方正仿宋_GBK" w:cs="Times New Roman"/>
                <w:b w:val="0"/>
                <w:bCs w:val="0"/>
                <w:color w:val="auto"/>
                <w:szCs w:val="21"/>
                <w:highlight w:val="none"/>
                <w:vertAlign w:val="baseline"/>
                <w:lang w:val="en-US" w:eastAsia="zh-CN"/>
              </w:rPr>
            </w:pPr>
          </w:p>
        </w:tc>
        <w:tc>
          <w:tcPr>
            <w:tcW w:w="1194" w:type="dxa"/>
            <w:vAlign w:val="center"/>
          </w:tcPr>
          <w:p>
            <w:pPr>
              <w:spacing w:line="240" w:lineRule="auto"/>
              <w:jc w:val="center"/>
              <w:rPr>
                <w:rFonts w:hint="default" w:ascii="Times New Roman" w:hAnsi="Times New Roman" w:eastAsia="方正仿宋_GBK" w:cs="Times New Roman"/>
                <w:b w:val="0"/>
                <w:bCs w:val="0"/>
                <w:color w:val="auto"/>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858" w:type="dxa"/>
            <w:vAlign w:val="center"/>
          </w:tcPr>
          <w:p>
            <w:pPr>
              <w:spacing w:line="240" w:lineRule="auto"/>
              <w:jc w:val="center"/>
              <w:rPr>
                <w:rFonts w:hint="default" w:ascii="Times New Roman" w:hAnsi="Times New Roman" w:eastAsia="方正仿宋_GBK" w:cs="Times New Roman"/>
                <w:b w:val="0"/>
                <w:bCs w:val="0"/>
                <w:color w:val="auto"/>
                <w:szCs w:val="21"/>
                <w:highlight w:val="none"/>
                <w:vertAlign w:val="baseline"/>
                <w:lang w:val="en-US" w:eastAsia="zh-CN"/>
              </w:rPr>
            </w:pPr>
            <w:r>
              <w:rPr>
                <w:rFonts w:hint="eastAsia" w:ascii="Times New Roman" w:hAnsi="Times New Roman" w:eastAsia="方正仿宋_GBK" w:cs="Times New Roman"/>
                <w:b w:val="0"/>
                <w:bCs w:val="0"/>
                <w:color w:val="auto"/>
                <w:szCs w:val="21"/>
                <w:highlight w:val="none"/>
                <w:vertAlign w:val="baseline"/>
                <w:lang w:val="en-US" w:eastAsia="zh-CN"/>
              </w:rPr>
              <w:t>2</w:t>
            </w:r>
          </w:p>
        </w:tc>
        <w:tc>
          <w:tcPr>
            <w:tcW w:w="1174" w:type="dxa"/>
            <w:vAlign w:val="center"/>
          </w:tcPr>
          <w:p>
            <w:pPr>
              <w:spacing w:line="240" w:lineRule="auto"/>
              <w:jc w:val="center"/>
              <w:rPr>
                <w:rFonts w:hint="default" w:ascii="Times New Roman" w:hAnsi="Times New Roman" w:eastAsia="方正仿宋_GBK" w:cs="Times New Roman"/>
                <w:b w:val="0"/>
                <w:bCs w:val="0"/>
                <w:color w:val="auto"/>
                <w:szCs w:val="21"/>
                <w:highlight w:val="none"/>
                <w:vertAlign w:val="baseline"/>
                <w:lang w:val="en-US" w:eastAsia="zh-CN"/>
              </w:rPr>
            </w:pPr>
          </w:p>
        </w:tc>
        <w:tc>
          <w:tcPr>
            <w:tcW w:w="1213" w:type="dxa"/>
            <w:vAlign w:val="center"/>
          </w:tcPr>
          <w:p>
            <w:pPr>
              <w:spacing w:line="240" w:lineRule="auto"/>
              <w:jc w:val="center"/>
              <w:rPr>
                <w:rFonts w:hint="default" w:ascii="Times New Roman" w:hAnsi="Times New Roman" w:eastAsia="方正仿宋_GBK" w:cs="Times New Roman"/>
                <w:b w:val="0"/>
                <w:bCs w:val="0"/>
                <w:color w:val="auto"/>
                <w:szCs w:val="21"/>
                <w:highlight w:val="none"/>
                <w:vertAlign w:val="baseline"/>
                <w:lang w:val="en-US" w:eastAsia="zh-CN"/>
              </w:rPr>
            </w:pPr>
          </w:p>
        </w:tc>
        <w:tc>
          <w:tcPr>
            <w:tcW w:w="2378" w:type="dxa"/>
            <w:vAlign w:val="center"/>
          </w:tcPr>
          <w:p>
            <w:pPr>
              <w:spacing w:line="240" w:lineRule="auto"/>
              <w:jc w:val="center"/>
              <w:rPr>
                <w:rFonts w:hint="default" w:ascii="Times New Roman" w:hAnsi="Times New Roman" w:eastAsia="方正仿宋_GBK" w:cs="Times New Roman"/>
                <w:b w:val="0"/>
                <w:bCs w:val="0"/>
                <w:color w:val="auto"/>
                <w:szCs w:val="21"/>
                <w:highlight w:val="none"/>
                <w:vertAlign w:val="baseline"/>
                <w:lang w:val="en-US" w:eastAsia="zh-CN"/>
              </w:rPr>
            </w:pPr>
          </w:p>
        </w:tc>
        <w:tc>
          <w:tcPr>
            <w:tcW w:w="3013" w:type="dxa"/>
            <w:vAlign w:val="center"/>
          </w:tcPr>
          <w:p>
            <w:pPr>
              <w:spacing w:line="240" w:lineRule="auto"/>
              <w:jc w:val="center"/>
              <w:rPr>
                <w:rFonts w:hint="default" w:ascii="Times New Roman" w:hAnsi="Times New Roman" w:eastAsia="方正仿宋_GBK" w:cs="Times New Roman"/>
                <w:b w:val="0"/>
                <w:bCs w:val="0"/>
                <w:color w:val="auto"/>
                <w:szCs w:val="21"/>
                <w:highlight w:val="none"/>
                <w:vertAlign w:val="baseline"/>
                <w:lang w:val="en-US" w:eastAsia="zh-CN"/>
              </w:rPr>
            </w:pPr>
          </w:p>
        </w:tc>
        <w:tc>
          <w:tcPr>
            <w:tcW w:w="3151" w:type="dxa"/>
            <w:vAlign w:val="center"/>
          </w:tcPr>
          <w:p>
            <w:pPr>
              <w:spacing w:line="240" w:lineRule="auto"/>
              <w:jc w:val="center"/>
              <w:rPr>
                <w:rFonts w:hint="default" w:ascii="Times New Roman" w:hAnsi="Times New Roman" w:eastAsia="方正仿宋_GBK" w:cs="Times New Roman"/>
                <w:b w:val="0"/>
                <w:bCs w:val="0"/>
                <w:color w:val="auto"/>
                <w:szCs w:val="21"/>
                <w:highlight w:val="none"/>
                <w:vertAlign w:val="baseline"/>
                <w:lang w:val="en-US" w:eastAsia="zh-CN"/>
              </w:rPr>
            </w:pPr>
          </w:p>
        </w:tc>
        <w:tc>
          <w:tcPr>
            <w:tcW w:w="1117" w:type="dxa"/>
            <w:vAlign w:val="center"/>
          </w:tcPr>
          <w:p>
            <w:pPr>
              <w:spacing w:line="240" w:lineRule="auto"/>
              <w:jc w:val="center"/>
              <w:rPr>
                <w:rFonts w:hint="default" w:ascii="Times New Roman" w:hAnsi="Times New Roman" w:eastAsia="方正仿宋_GBK" w:cs="Times New Roman"/>
                <w:b w:val="0"/>
                <w:bCs w:val="0"/>
                <w:color w:val="auto"/>
                <w:szCs w:val="21"/>
                <w:highlight w:val="none"/>
                <w:vertAlign w:val="baseline"/>
                <w:lang w:val="en-US" w:eastAsia="zh-CN"/>
              </w:rPr>
            </w:pPr>
          </w:p>
        </w:tc>
        <w:tc>
          <w:tcPr>
            <w:tcW w:w="1194" w:type="dxa"/>
            <w:vAlign w:val="center"/>
          </w:tcPr>
          <w:p>
            <w:pPr>
              <w:spacing w:line="240" w:lineRule="auto"/>
              <w:jc w:val="center"/>
              <w:rPr>
                <w:rFonts w:hint="default" w:ascii="Times New Roman" w:hAnsi="Times New Roman" w:eastAsia="方正仿宋_GBK" w:cs="Times New Roman"/>
                <w:b w:val="0"/>
                <w:bCs w:val="0"/>
                <w:color w:val="auto"/>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858" w:type="dxa"/>
            <w:vAlign w:val="center"/>
          </w:tcPr>
          <w:p>
            <w:pPr>
              <w:spacing w:line="240" w:lineRule="auto"/>
              <w:jc w:val="center"/>
              <w:rPr>
                <w:rFonts w:hint="default" w:ascii="Times New Roman" w:hAnsi="Times New Roman" w:eastAsia="方正仿宋_GBK" w:cs="Times New Roman"/>
                <w:b w:val="0"/>
                <w:bCs w:val="0"/>
                <w:color w:val="auto"/>
                <w:szCs w:val="21"/>
                <w:highlight w:val="none"/>
                <w:vertAlign w:val="baseline"/>
                <w:lang w:val="en-US" w:eastAsia="zh-CN"/>
              </w:rPr>
            </w:pPr>
            <w:r>
              <w:rPr>
                <w:rFonts w:hint="eastAsia" w:ascii="Times New Roman" w:hAnsi="Times New Roman" w:eastAsia="方正仿宋_GBK" w:cs="Times New Roman"/>
                <w:b w:val="0"/>
                <w:bCs w:val="0"/>
                <w:color w:val="auto"/>
                <w:szCs w:val="21"/>
                <w:highlight w:val="none"/>
                <w:vertAlign w:val="baseline"/>
                <w:lang w:val="en-US" w:eastAsia="zh-CN"/>
              </w:rPr>
              <w:t>...</w:t>
            </w:r>
          </w:p>
        </w:tc>
        <w:tc>
          <w:tcPr>
            <w:tcW w:w="1174" w:type="dxa"/>
            <w:vAlign w:val="center"/>
          </w:tcPr>
          <w:p>
            <w:pPr>
              <w:spacing w:line="240" w:lineRule="auto"/>
              <w:jc w:val="center"/>
              <w:rPr>
                <w:rFonts w:hint="default" w:ascii="Times New Roman" w:hAnsi="Times New Roman" w:eastAsia="方正仿宋_GBK" w:cs="Times New Roman"/>
                <w:b w:val="0"/>
                <w:bCs w:val="0"/>
                <w:color w:val="auto"/>
                <w:szCs w:val="21"/>
                <w:highlight w:val="none"/>
                <w:vertAlign w:val="baseline"/>
                <w:lang w:val="en-US" w:eastAsia="zh-CN"/>
              </w:rPr>
            </w:pPr>
          </w:p>
        </w:tc>
        <w:tc>
          <w:tcPr>
            <w:tcW w:w="1213" w:type="dxa"/>
            <w:vAlign w:val="center"/>
          </w:tcPr>
          <w:p>
            <w:pPr>
              <w:spacing w:line="240" w:lineRule="auto"/>
              <w:jc w:val="center"/>
              <w:rPr>
                <w:rFonts w:hint="default" w:ascii="Times New Roman" w:hAnsi="Times New Roman" w:eastAsia="方正仿宋_GBK" w:cs="Times New Roman"/>
                <w:b w:val="0"/>
                <w:bCs w:val="0"/>
                <w:color w:val="auto"/>
                <w:szCs w:val="21"/>
                <w:highlight w:val="none"/>
                <w:vertAlign w:val="baseline"/>
                <w:lang w:val="en-US" w:eastAsia="zh-CN"/>
              </w:rPr>
            </w:pPr>
          </w:p>
        </w:tc>
        <w:tc>
          <w:tcPr>
            <w:tcW w:w="2378" w:type="dxa"/>
            <w:vAlign w:val="center"/>
          </w:tcPr>
          <w:p>
            <w:pPr>
              <w:spacing w:line="240" w:lineRule="auto"/>
              <w:jc w:val="center"/>
              <w:rPr>
                <w:rFonts w:hint="default" w:ascii="Times New Roman" w:hAnsi="Times New Roman" w:eastAsia="方正仿宋_GBK" w:cs="Times New Roman"/>
                <w:b w:val="0"/>
                <w:bCs w:val="0"/>
                <w:color w:val="auto"/>
                <w:szCs w:val="21"/>
                <w:highlight w:val="none"/>
                <w:vertAlign w:val="baseline"/>
                <w:lang w:val="en-US" w:eastAsia="zh-CN"/>
              </w:rPr>
            </w:pPr>
          </w:p>
        </w:tc>
        <w:tc>
          <w:tcPr>
            <w:tcW w:w="3013" w:type="dxa"/>
            <w:vAlign w:val="center"/>
          </w:tcPr>
          <w:p>
            <w:pPr>
              <w:spacing w:line="240" w:lineRule="auto"/>
              <w:jc w:val="center"/>
              <w:rPr>
                <w:rFonts w:hint="default" w:ascii="Times New Roman" w:hAnsi="Times New Roman" w:eastAsia="方正仿宋_GBK" w:cs="Times New Roman"/>
                <w:b w:val="0"/>
                <w:bCs w:val="0"/>
                <w:color w:val="auto"/>
                <w:szCs w:val="21"/>
                <w:highlight w:val="none"/>
                <w:vertAlign w:val="baseline"/>
                <w:lang w:val="en-US" w:eastAsia="zh-CN"/>
              </w:rPr>
            </w:pPr>
          </w:p>
        </w:tc>
        <w:tc>
          <w:tcPr>
            <w:tcW w:w="3151" w:type="dxa"/>
            <w:vAlign w:val="center"/>
          </w:tcPr>
          <w:p>
            <w:pPr>
              <w:spacing w:line="240" w:lineRule="auto"/>
              <w:jc w:val="center"/>
              <w:rPr>
                <w:rFonts w:hint="default" w:ascii="Times New Roman" w:hAnsi="Times New Roman" w:eastAsia="方正仿宋_GBK" w:cs="Times New Roman"/>
                <w:b w:val="0"/>
                <w:bCs w:val="0"/>
                <w:color w:val="auto"/>
                <w:szCs w:val="21"/>
                <w:highlight w:val="none"/>
                <w:vertAlign w:val="baseline"/>
                <w:lang w:val="en-US" w:eastAsia="zh-CN"/>
              </w:rPr>
            </w:pPr>
          </w:p>
        </w:tc>
        <w:tc>
          <w:tcPr>
            <w:tcW w:w="1117" w:type="dxa"/>
            <w:vAlign w:val="center"/>
          </w:tcPr>
          <w:p>
            <w:pPr>
              <w:spacing w:line="240" w:lineRule="auto"/>
              <w:jc w:val="center"/>
              <w:rPr>
                <w:rFonts w:hint="default" w:ascii="Times New Roman" w:hAnsi="Times New Roman" w:eastAsia="方正仿宋_GBK" w:cs="Times New Roman"/>
                <w:b w:val="0"/>
                <w:bCs w:val="0"/>
                <w:color w:val="auto"/>
                <w:szCs w:val="21"/>
                <w:highlight w:val="none"/>
                <w:vertAlign w:val="baseline"/>
                <w:lang w:val="en-US" w:eastAsia="zh-CN"/>
              </w:rPr>
            </w:pPr>
          </w:p>
        </w:tc>
        <w:tc>
          <w:tcPr>
            <w:tcW w:w="1194" w:type="dxa"/>
            <w:vAlign w:val="center"/>
          </w:tcPr>
          <w:p>
            <w:pPr>
              <w:spacing w:line="240" w:lineRule="auto"/>
              <w:jc w:val="center"/>
              <w:rPr>
                <w:rFonts w:hint="default" w:ascii="Times New Roman" w:hAnsi="Times New Roman" w:eastAsia="方正仿宋_GBK" w:cs="Times New Roman"/>
                <w:b w:val="0"/>
                <w:bCs w:val="0"/>
                <w:color w:val="auto"/>
                <w:szCs w:val="21"/>
                <w:highlight w:val="none"/>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before="157" w:beforeLines="50" w:line="240" w:lineRule="atLeast"/>
        <w:jc w:val="left"/>
        <w:textAlignment w:val="auto"/>
        <w:rPr>
          <w:rFonts w:hint="eastAsia" w:ascii="Times New Roman" w:hAnsi="Times New Roman" w:eastAsia="方正仿宋_GBK" w:cs="Times New Roman"/>
          <w:b w:val="0"/>
          <w:bCs w:val="0"/>
          <w:color w:val="auto"/>
          <w:szCs w:val="21"/>
          <w:highlight w:val="none"/>
          <w:lang w:val="en-US" w:eastAsia="zh-CN"/>
        </w:rPr>
      </w:pPr>
      <w:r>
        <w:rPr>
          <w:rFonts w:hint="eastAsia" w:ascii="Times New Roman" w:hAnsi="Times New Roman" w:eastAsia="方正仿宋_GBK" w:cs="Times New Roman"/>
          <w:b w:val="0"/>
          <w:bCs w:val="0"/>
          <w:color w:val="auto"/>
          <w:szCs w:val="21"/>
          <w:highlight w:val="none"/>
          <w:lang w:val="en-US" w:eastAsia="zh-CN"/>
        </w:rPr>
        <w:t>注：评估结果仅用于环境监管目的，禁止向无关第三方泄露。</w:t>
      </w:r>
    </w:p>
    <w:p>
      <w:pPr>
        <w:spacing w:line="240" w:lineRule="atLeast"/>
        <w:jc w:val="left"/>
        <w:rPr>
          <w:rFonts w:hint="eastAsia" w:ascii="Times New Roman" w:hAnsi="Times New Roman" w:eastAsia="方正仿宋_GBK" w:cs="Times New Roman"/>
          <w:b w:val="0"/>
          <w:bCs w:val="0"/>
          <w:color w:val="auto"/>
          <w:szCs w:val="21"/>
          <w:highlight w:val="none"/>
          <w:lang w:val="en-US" w:eastAsia="zh-CN"/>
        </w:rPr>
      </w:pPr>
    </w:p>
    <w:p>
      <w:pPr>
        <w:spacing w:line="240" w:lineRule="atLeast"/>
        <w:jc w:val="left"/>
        <w:rPr>
          <w:rFonts w:hint="eastAsia" w:ascii="Times New Roman" w:hAnsi="Times New Roman" w:eastAsia="方正仿宋_GBK" w:cs="Times New Roman"/>
          <w:b w:val="0"/>
          <w:bCs w:val="0"/>
          <w:color w:val="auto"/>
          <w:szCs w:val="21"/>
          <w:highlight w:val="none"/>
          <w:lang w:val="en-US" w:eastAsia="zh-CN"/>
        </w:rPr>
      </w:pPr>
    </w:p>
    <w:p>
      <w:pPr>
        <w:spacing w:line="240" w:lineRule="atLeast"/>
        <w:jc w:val="left"/>
        <w:rPr>
          <w:rFonts w:hint="eastAsia" w:ascii="Times New Roman" w:hAnsi="Times New Roman" w:eastAsia="方正仿宋_GBK" w:cs="Times New Roman"/>
          <w:b w:val="0"/>
          <w:bCs w:val="0"/>
          <w:color w:val="auto"/>
          <w:szCs w:val="21"/>
          <w:highlight w:val="none"/>
          <w:lang w:val="en-US" w:eastAsia="zh-CN"/>
        </w:rPr>
      </w:pPr>
    </w:p>
    <w:p>
      <w:pPr>
        <w:spacing w:line="240" w:lineRule="atLeast"/>
        <w:jc w:val="left"/>
        <w:rPr>
          <w:rFonts w:ascii="Times New Roman" w:hAnsi="Times New Roman" w:eastAsia="方正仿宋_GBK" w:cs="Times New Roman"/>
          <w:b w:val="0"/>
          <w:bCs w:val="0"/>
          <w:color w:val="auto"/>
          <w:szCs w:val="21"/>
          <w:highlight w:val="none"/>
        </w:rPr>
        <w:sectPr>
          <w:footerReference r:id="rId5" w:type="default"/>
          <w:pgSz w:w="16838" w:h="11906" w:orient="landscape"/>
          <w:pgMar w:top="2098" w:right="1531" w:bottom="1984" w:left="1531" w:header="851" w:footer="1474" w:gutter="0"/>
          <w:paperSrc/>
          <w:pgBorders>
            <w:top w:val="none" w:sz="0" w:space="0"/>
            <w:left w:val="none" w:sz="0" w:space="0"/>
            <w:bottom w:val="none" w:sz="0" w:space="0"/>
            <w:right w:val="none" w:sz="0" w:space="0"/>
          </w:pgBorders>
          <w:pgNumType w:fmt="numberInDash"/>
          <w:cols w:space="0" w:num="1"/>
          <w:rtlGutter w:val="0"/>
          <w:docGrid w:type="lines" w:linePitch="315" w:charSpace="0"/>
        </w:sectPr>
      </w:pPr>
    </w:p>
    <w:p>
      <w:pPr>
        <w:keepNext w:val="0"/>
        <w:keepLines w:val="0"/>
        <w:pageBreakBefore w:val="0"/>
        <w:widowControl w:val="0"/>
        <w:kinsoku w:val="0"/>
        <w:wordWrap/>
        <w:overflowPunct/>
        <w:topLinePunct w:val="0"/>
        <w:autoSpaceDE/>
        <w:autoSpaceDN/>
        <w:bidi w:val="0"/>
        <w:adjustRightInd/>
        <w:snapToGrid w:val="0"/>
        <w:spacing w:before="157" w:beforeLines="50" w:after="313" w:afterLines="100" w:line="226" w:lineRule="auto"/>
        <w:ind w:left="0"/>
        <w:jc w:val="left"/>
        <w:textAlignment w:val="baseline"/>
        <w:rPr>
          <w:rFonts w:hint="eastAsia" w:ascii="方正黑体_GBK" w:hAnsi="方正黑体_GBK" w:eastAsia="方正黑体_GBK" w:cs="方正黑体_GBK"/>
          <w:b w:val="0"/>
          <w:bCs w:val="0"/>
          <w:snapToGrid w:val="0"/>
          <w:color w:val="auto"/>
          <w:spacing w:val="-3"/>
          <w:kern w:val="0"/>
          <w:sz w:val="32"/>
          <w:szCs w:val="32"/>
          <w:highlight w:val="none"/>
          <w:lang w:val="en-US" w:eastAsia="zh-CN"/>
          <w14:ligatures w14:val="none"/>
        </w:rPr>
      </w:pPr>
      <w:r>
        <w:rPr>
          <w:rFonts w:hint="eastAsia" w:ascii="方正黑体_GBK" w:hAnsi="方正黑体_GBK" w:eastAsia="方正黑体_GBK" w:cs="方正黑体_GBK"/>
          <w:b w:val="0"/>
          <w:bCs w:val="0"/>
          <w:snapToGrid w:val="0"/>
          <w:color w:val="auto"/>
          <w:spacing w:val="-3"/>
          <w:kern w:val="0"/>
          <w:sz w:val="32"/>
          <w:szCs w:val="32"/>
          <w:highlight w:val="none"/>
          <w:lang w:val="en-US" w:eastAsia="zh-CN"/>
          <w14:ligatures w14:val="none"/>
        </w:rPr>
        <w:t>附件3</w:t>
      </w:r>
    </w:p>
    <w:p>
      <w:pPr>
        <w:keepNext w:val="0"/>
        <w:keepLines w:val="0"/>
        <w:pageBreakBefore w:val="0"/>
        <w:widowControl w:val="0"/>
        <w:kinsoku/>
        <w:wordWrap/>
        <w:overflowPunct/>
        <w:topLinePunct w:val="0"/>
        <w:autoSpaceDE/>
        <w:autoSpaceDN/>
        <w:bidi w:val="0"/>
        <w:adjustRightInd/>
        <w:snapToGrid w:val="0"/>
        <w:spacing w:before="313" w:beforeLines="100" w:after="313" w:afterLines="100" w:line="560" w:lineRule="exact"/>
        <w:jc w:val="center"/>
        <w:textAlignment w:val="auto"/>
        <w:outlineLvl w:val="0"/>
        <w:rPr>
          <w:rFonts w:hint="eastAsia" w:ascii="方正小标宋_GBK" w:hAnsi="方正小标宋_GBK" w:eastAsia="方正小标宋_GBK" w:cs="方正小标宋_GBK"/>
          <w:b w:val="0"/>
          <w:bCs w:val="0"/>
          <w:color w:val="auto"/>
          <w:sz w:val="44"/>
          <w:szCs w:val="44"/>
          <w:highlight w:val="none"/>
          <w:lang w:val="en-US"/>
        </w:rPr>
      </w:pPr>
      <w:r>
        <w:rPr>
          <w:rFonts w:hint="eastAsia" w:ascii="方正小标宋_GBK" w:hAnsi="方正小标宋_GBK" w:eastAsia="方正小标宋_GBK" w:cs="方正小标宋_GBK"/>
          <w:b w:val="0"/>
          <w:bCs w:val="0"/>
          <w:color w:val="auto"/>
          <w:sz w:val="44"/>
          <w:szCs w:val="44"/>
          <w:highlight w:val="none"/>
          <w:lang w:val="en-US" w:eastAsia="zh-CN"/>
        </w:rPr>
        <w:t>一般工业固体废物规范化环境管理评估指南</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一、</w:t>
      </w:r>
      <w:r>
        <w:rPr>
          <w:rFonts w:hint="eastAsia" w:ascii="方正仿宋_GBK" w:hAnsi="方正仿宋_GBK" w:eastAsia="方正仿宋_GBK" w:cs="方正仿宋_GBK"/>
          <w:b w:val="0"/>
          <w:bCs w:val="0"/>
          <w:color w:val="auto"/>
          <w:sz w:val="32"/>
          <w:szCs w:val="32"/>
          <w:highlight w:val="none"/>
          <w:lang w:val="en-US" w:eastAsia="en-US"/>
        </w:rPr>
        <w:t>环境影响评价制度</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（一）评估要点</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eastAsia="en-US"/>
        </w:rPr>
        <w:t>编制环境影响报告书、环境影响报告表的建设项目，应当在环境影响评价文件明确一般工业固体废物的产生环节、种类、</w:t>
      </w:r>
      <w:r>
        <w:rPr>
          <w:rFonts w:hint="eastAsia" w:ascii="方正仿宋_GBK" w:hAnsi="方正仿宋_GBK" w:eastAsia="方正仿宋_GBK" w:cs="方正仿宋_GBK"/>
          <w:b w:val="0"/>
          <w:bCs w:val="0"/>
          <w:color w:val="auto"/>
          <w:sz w:val="32"/>
          <w:szCs w:val="32"/>
          <w:highlight w:val="none"/>
          <w:lang w:val="en-US" w:eastAsia="zh-CN"/>
        </w:rPr>
        <w:t>代码、</w:t>
      </w:r>
      <w:r>
        <w:rPr>
          <w:rFonts w:hint="eastAsia" w:ascii="方正仿宋_GBK" w:hAnsi="方正仿宋_GBK" w:eastAsia="方正仿宋_GBK" w:cs="方正仿宋_GBK"/>
          <w:b w:val="0"/>
          <w:bCs w:val="0"/>
          <w:color w:val="auto"/>
          <w:sz w:val="32"/>
          <w:szCs w:val="32"/>
          <w:highlight w:val="none"/>
          <w:lang w:eastAsia="en-US"/>
        </w:rPr>
        <w:t>名称、物理性状、</w:t>
      </w:r>
      <w:r>
        <w:rPr>
          <w:rFonts w:hint="eastAsia" w:ascii="方正仿宋_GBK" w:hAnsi="方正仿宋_GBK" w:eastAsia="方正仿宋_GBK" w:cs="方正仿宋_GBK"/>
          <w:b w:val="0"/>
          <w:bCs w:val="0"/>
          <w:color w:val="auto"/>
          <w:spacing w:val="0"/>
          <w:sz w:val="32"/>
          <w:szCs w:val="32"/>
          <w:highlight w:val="none"/>
          <w:lang w:eastAsia="en-US"/>
        </w:rPr>
        <w:t>年度产生量、贮存方式、利用方式和去向、利用或处置量、环境管理要求。</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pacing w:val="0"/>
          <w:sz w:val="32"/>
          <w:szCs w:val="32"/>
          <w:highlight w:val="none"/>
          <w:lang w:eastAsia="en-US"/>
        </w:rPr>
        <w:t>填报环境影响登记表的建设项目，应当在</w:t>
      </w:r>
      <w:r>
        <w:rPr>
          <w:rFonts w:hint="eastAsia" w:ascii="方正仿宋_GBK" w:hAnsi="方正仿宋_GBK" w:eastAsia="方正仿宋_GBK" w:cs="方正仿宋_GBK"/>
          <w:b w:val="0"/>
          <w:bCs w:val="0"/>
          <w:color w:val="auto"/>
          <w:spacing w:val="0"/>
          <w:sz w:val="32"/>
          <w:szCs w:val="32"/>
          <w:highlight w:val="none"/>
          <w:lang w:eastAsia="zh-CN"/>
        </w:rPr>
        <w:t>“</w:t>
      </w:r>
      <w:r>
        <w:rPr>
          <w:rFonts w:hint="eastAsia" w:ascii="方正仿宋_GBK" w:hAnsi="方正仿宋_GBK" w:eastAsia="方正仿宋_GBK" w:cs="方正仿宋_GBK"/>
          <w:b w:val="0"/>
          <w:bCs w:val="0"/>
          <w:color w:val="auto"/>
          <w:spacing w:val="0"/>
          <w:sz w:val="32"/>
          <w:szCs w:val="32"/>
          <w:highlight w:val="none"/>
          <w:lang w:eastAsia="en-US"/>
        </w:rPr>
        <w:t>采</w:t>
      </w:r>
      <w:r>
        <w:rPr>
          <w:rFonts w:hint="eastAsia" w:ascii="方正仿宋_GBK" w:hAnsi="方正仿宋_GBK" w:eastAsia="方正仿宋_GBK" w:cs="方正仿宋_GBK"/>
          <w:b w:val="0"/>
          <w:bCs w:val="0"/>
          <w:color w:val="auto"/>
          <w:sz w:val="32"/>
          <w:szCs w:val="32"/>
          <w:highlight w:val="none"/>
          <w:lang w:eastAsia="en-US"/>
        </w:rPr>
        <w:t>取的环保措施及排放去向</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lang w:eastAsia="en-US"/>
        </w:rPr>
        <w:t>部</w:t>
      </w:r>
      <w:r>
        <w:rPr>
          <w:rFonts w:hint="eastAsia" w:ascii="方正仿宋_GBK" w:hAnsi="方正仿宋_GBK" w:eastAsia="方正仿宋_GBK" w:cs="方正仿宋_GBK"/>
          <w:b w:val="0"/>
          <w:bCs w:val="0"/>
          <w:color w:val="auto"/>
          <w:spacing w:val="0"/>
          <w:sz w:val="32"/>
          <w:szCs w:val="32"/>
          <w:highlight w:val="none"/>
          <w:lang w:eastAsia="en-US"/>
        </w:rPr>
        <w:t>分，载明一般工业固体废物的种类及最终流向。</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w:t>
      </w:r>
      <w:r>
        <w:rPr>
          <w:rFonts w:hint="eastAsia" w:ascii="方正仿宋_GBK" w:hAnsi="方正仿宋_GBK" w:eastAsia="方正仿宋_GBK" w:cs="方正仿宋_GBK"/>
          <w:b w:val="0"/>
          <w:bCs w:val="0"/>
          <w:color w:val="auto"/>
          <w:sz w:val="32"/>
          <w:szCs w:val="32"/>
          <w:highlight w:val="none"/>
          <w:lang w:val="en-US" w:eastAsia="en-US"/>
        </w:rPr>
        <w:t>环境影响评价文件</w:t>
      </w:r>
      <w:r>
        <w:rPr>
          <w:rFonts w:hint="eastAsia" w:ascii="方正仿宋_GBK" w:hAnsi="方正仿宋_GBK" w:eastAsia="方正仿宋_GBK" w:cs="方正仿宋_GBK"/>
          <w:b w:val="0"/>
          <w:bCs w:val="0"/>
          <w:color w:val="auto"/>
          <w:sz w:val="32"/>
          <w:szCs w:val="32"/>
          <w:highlight w:val="none"/>
          <w:lang w:val="en-US" w:eastAsia="zh-CN"/>
        </w:rPr>
        <w:t>应</w:t>
      </w:r>
      <w:r>
        <w:rPr>
          <w:rFonts w:hint="eastAsia" w:ascii="方正仿宋_GBK" w:hAnsi="方正仿宋_GBK" w:eastAsia="方正仿宋_GBK" w:cs="方正仿宋_GBK"/>
          <w:b w:val="0"/>
          <w:bCs w:val="0"/>
          <w:color w:val="auto"/>
          <w:sz w:val="32"/>
          <w:szCs w:val="32"/>
          <w:highlight w:val="none"/>
          <w:lang w:val="en-US" w:eastAsia="en-US"/>
        </w:rPr>
        <w:t>科学预测分析一般工业固体废物的产生情况，预估产生量、属性</w:t>
      </w:r>
      <w:r>
        <w:rPr>
          <w:rFonts w:hint="eastAsia" w:ascii="方正仿宋_GBK" w:hAnsi="方正仿宋_GBK" w:eastAsia="方正仿宋_GBK" w:cs="方正仿宋_GBK"/>
          <w:b w:val="0"/>
          <w:bCs w:val="0"/>
          <w:color w:val="auto"/>
          <w:sz w:val="32"/>
          <w:szCs w:val="32"/>
          <w:highlight w:val="none"/>
          <w:lang w:val="en-US" w:eastAsia="zh-CN"/>
        </w:rPr>
        <w:t>和</w:t>
      </w:r>
      <w:r>
        <w:rPr>
          <w:rFonts w:hint="eastAsia" w:ascii="方正仿宋_GBK" w:hAnsi="方正仿宋_GBK" w:eastAsia="方正仿宋_GBK" w:cs="方正仿宋_GBK"/>
          <w:b w:val="0"/>
          <w:bCs w:val="0"/>
          <w:color w:val="auto"/>
          <w:sz w:val="32"/>
          <w:szCs w:val="32"/>
          <w:highlight w:val="none"/>
          <w:lang w:val="en-US" w:eastAsia="en-US"/>
        </w:rPr>
        <w:t>类别</w:t>
      </w:r>
      <w:r>
        <w:rPr>
          <w:rFonts w:hint="eastAsia" w:ascii="方正仿宋_GBK" w:hAnsi="方正仿宋_GBK" w:eastAsia="方正仿宋_GBK" w:cs="方正仿宋_GBK"/>
          <w:b w:val="0"/>
          <w:bCs w:val="0"/>
          <w:color w:val="auto"/>
          <w:sz w:val="32"/>
          <w:szCs w:val="32"/>
          <w:highlight w:val="none"/>
          <w:lang w:val="en-US" w:eastAsia="zh-CN"/>
        </w:rPr>
        <w:t>。</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（4）</w:t>
      </w:r>
      <w:r>
        <w:rPr>
          <w:rFonts w:hint="eastAsia" w:ascii="方正仿宋_GBK" w:hAnsi="方正仿宋_GBK" w:eastAsia="方正仿宋_GBK" w:cs="方正仿宋_GBK"/>
          <w:b w:val="0"/>
          <w:bCs w:val="0"/>
          <w:color w:val="auto"/>
          <w:sz w:val="32"/>
          <w:szCs w:val="32"/>
          <w:highlight w:val="none"/>
          <w:lang w:val="en-US" w:eastAsia="en-US"/>
        </w:rPr>
        <w:t>在环境影响评价文件</w:t>
      </w:r>
      <w:r>
        <w:rPr>
          <w:rFonts w:hint="eastAsia" w:ascii="方正仿宋_GBK" w:hAnsi="方正仿宋_GBK" w:eastAsia="方正仿宋_GBK" w:cs="方正仿宋_GBK"/>
          <w:b w:val="0"/>
          <w:bCs w:val="0"/>
          <w:color w:val="auto"/>
          <w:sz w:val="32"/>
          <w:szCs w:val="32"/>
          <w:highlight w:val="none"/>
          <w:lang w:val="en-US" w:eastAsia="zh-CN"/>
        </w:rPr>
        <w:t>中</w:t>
      </w:r>
      <w:r>
        <w:rPr>
          <w:rFonts w:hint="eastAsia" w:ascii="方正仿宋_GBK" w:hAnsi="方正仿宋_GBK" w:eastAsia="方正仿宋_GBK" w:cs="方正仿宋_GBK"/>
          <w:b w:val="0"/>
          <w:bCs w:val="0"/>
          <w:color w:val="auto"/>
          <w:sz w:val="32"/>
          <w:szCs w:val="32"/>
          <w:highlight w:val="none"/>
          <w:lang w:val="en-US" w:eastAsia="en-US"/>
        </w:rPr>
        <w:t>明确配套建设</w:t>
      </w:r>
      <w:r>
        <w:rPr>
          <w:rFonts w:hint="eastAsia" w:ascii="方正仿宋_GBK" w:hAnsi="方正仿宋_GBK" w:eastAsia="方正仿宋_GBK" w:cs="方正仿宋_GBK"/>
          <w:b w:val="0"/>
          <w:bCs w:val="0"/>
          <w:color w:val="auto"/>
          <w:sz w:val="32"/>
          <w:szCs w:val="32"/>
          <w:highlight w:val="none"/>
          <w:lang w:val="en-US" w:eastAsia="zh-CN"/>
        </w:rPr>
        <w:t>的</w:t>
      </w:r>
      <w:r>
        <w:rPr>
          <w:rFonts w:hint="eastAsia" w:ascii="方正仿宋_GBK" w:hAnsi="方正仿宋_GBK" w:eastAsia="方正仿宋_GBK" w:cs="方正仿宋_GBK"/>
          <w:b w:val="0"/>
          <w:bCs w:val="0"/>
          <w:color w:val="auto"/>
          <w:sz w:val="32"/>
          <w:szCs w:val="32"/>
          <w:highlight w:val="none"/>
          <w:lang w:val="en-US" w:eastAsia="en-US"/>
        </w:rPr>
        <w:t>一般固体废物贮存、利用、处置设施的环境保护标准</w:t>
      </w:r>
      <w:r>
        <w:rPr>
          <w:rFonts w:hint="eastAsia" w:ascii="方正仿宋_GBK" w:hAnsi="方正仿宋_GBK" w:eastAsia="方正仿宋_GBK" w:cs="方正仿宋_GBK"/>
          <w:b w:val="0"/>
          <w:bCs w:val="0"/>
          <w:color w:val="auto"/>
          <w:sz w:val="32"/>
          <w:szCs w:val="32"/>
          <w:highlight w:val="none"/>
          <w:lang w:val="en-US" w:eastAsia="zh-CN"/>
        </w:rPr>
        <w:t>，且应依据相关标准</w:t>
      </w:r>
      <w:r>
        <w:rPr>
          <w:rFonts w:hint="eastAsia" w:ascii="方正仿宋_GBK" w:hAnsi="方正仿宋_GBK" w:eastAsia="方正仿宋_GBK" w:cs="方正仿宋_GBK"/>
          <w:b w:val="0"/>
          <w:bCs w:val="0"/>
          <w:color w:val="auto"/>
          <w:sz w:val="32"/>
          <w:szCs w:val="32"/>
          <w:highlight w:val="none"/>
          <w:lang w:val="en-US" w:eastAsia="en-US"/>
        </w:rPr>
        <w:t>分析</w:t>
      </w:r>
      <w:r>
        <w:rPr>
          <w:rFonts w:hint="eastAsia" w:ascii="方正仿宋_GBK" w:hAnsi="方正仿宋_GBK" w:eastAsia="方正仿宋_GBK" w:cs="方正仿宋_GBK"/>
          <w:b w:val="0"/>
          <w:bCs w:val="0"/>
          <w:color w:val="auto"/>
          <w:sz w:val="32"/>
          <w:szCs w:val="32"/>
          <w:highlight w:val="none"/>
          <w:lang w:val="en-US" w:eastAsia="zh-CN"/>
        </w:rPr>
        <w:t>相关</w:t>
      </w:r>
      <w:r>
        <w:rPr>
          <w:rFonts w:hint="eastAsia" w:ascii="方正仿宋_GBK" w:hAnsi="方正仿宋_GBK" w:eastAsia="方正仿宋_GBK" w:cs="方正仿宋_GBK"/>
          <w:b w:val="0"/>
          <w:bCs w:val="0"/>
          <w:color w:val="auto"/>
          <w:sz w:val="32"/>
          <w:szCs w:val="32"/>
          <w:highlight w:val="none"/>
          <w:lang w:val="en-US" w:eastAsia="en-US"/>
        </w:rPr>
        <w:t>设施</w:t>
      </w:r>
      <w:r>
        <w:rPr>
          <w:rFonts w:hint="eastAsia" w:ascii="方正仿宋_GBK" w:hAnsi="方正仿宋_GBK" w:eastAsia="方正仿宋_GBK" w:cs="方正仿宋_GBK"/>
          <w:b w:val="0"/>
          <w:bCs w:val="0"/>
          <w:color w:val="auto"/>
          <w:sz w:val="32"/>
          <w:szCs w:val="32"/>
          <w:highlight w:val="none"/>
          <w:lang w:val="en-US" w:eastAsia="zh-CN"/>
        </w:rPr>
        <w:t>建设</w:t>
      </w:r>
      <w:r>
        <w:rPr>
          <w:rFonts w:hint="eastAsia" w:ascii="方正仿宋_GBK" w:hAnsi="方正仿宋_GBK" w:eastAsia="方正仿宋_GBK" w:cs="方正仿宋_GBK"/>
          <w:b w:val="0"/>
          <w:bCs w:val="0"/>
          <w:color w:val="auto"/>
          <w:sz w:val="32"/>
          <w:szCs w:val="32"/>
          <w:highlight w:val="none"/>
          <w:lang w:val="en-US" w:eastAsia="en-US"/>
        </w:rPr>
        <w:t>的可行性</w:t>
      </w:r>
      <w:r>
        <w:rPr>
          <w:rFonts w:hint="eastAsia" w:ascii="方正仿宋_GBK" w:hAnsi="方正仿宋_GBK" w:eastAsia="方正仿宋_GBK" w:cs="方正仿宋_GBK"/>
          <w:b w:val="0"/>
          <w:bCs w:val="0"/>
          <w:color w:val="auto"/>
          <w:sz w:val="32"/>
          <w:szCs w:val="32"/>
          <w:highlight w:val="none"/>
          <w:lang w:val="en-US" w:eastAsia="zh-CN"/>
        </w:rPr>
        <w:t>。</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（5）</w:t>
      </w:r>
      <w:r>
        <w:rPr>
          <w:rFonts w:hint="eastAsia" w:ascii="方正仿宋_GBK" w:hAnsi="方正仿宋_GBK" w:eastAsia="方正仿宋_GBK" w:cs="方正仿宋_GBK"/>
          <w:b w:val="0"/>
          <w:bCs w:val="0"/>
          <w:color w:val="auto"/>
          <w:sz w:val="32"/>
          <w:szCs w:val="32"/>
          <w:highlight w:val="none"/>
          <w:lang w:eastAsia="zh-CN"/>
        </w:rPr>
        <w:t>建设项目中防治污染的设施，应当与主体工程同时设计、同时施工、同时投产使用。防治污染的设施应当符合经批准的环境影响评价文件的要求，不得擅自拆除或者闲置。</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（二）达标标准</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企业具有环评材料，且材料中对一般工业固废的信息描述完整。同时，完成“三同时”验收或在验收期限内。</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（三）注意事项</w:t>
      </w:r>
    </w:p>
    <w:p>
      <w:pPr>
        <w:pStyle w:val="12"/>
        <w:keepNext w:val="0"/>
        <w:keepLines w:val="0"/>
        <w:pageBreakBefore w:val="0"/>
        <w:widowControl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Autospacing="0" w:afterAutospacing="0" w:line="600" w:lineRule="atLeast"/>
        <w:ind w:left="0" w:right="0" w:firstLine="640" w:firstLineChars="200"/>
        <w:jc w:val="both"/>
        <w:textAlignment w:val="auto"/>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（1）2024年1月22日以后编制的环境影响评价文件应依据《固体废物分类与代码目录》（生态环境部公告2024年第4号）增加一般工业固废的废物代码。</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（2）在《中华人民共和国环境影响评价法》实施（2003年9月1日）前已建成，又未发生改建、扩建的项目，若可提供开展“四清四治”专项行动的证明材料，本项制度记满分。</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（四）法律依据</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（1）《中华人民共和国固体废物污染环境防治法》（以下简称《固废法》）</w:t>
      </w:r>
      <w:r>
        <w:rPr>
          <w:rFonts w:hint="eastAsia" w:ascii="方正仿宋_GBK" w:hAnsi="方正仿宋_GBK" w:eastAsia="方正仿宋_GBK" w:cs="方正仿宋_GBK"/>
          <w:b w:val="0"/>
          <w:bCs w:val="0"/>
          <w:color w:val="auto"/>
          <w:sz w:val="32"/>
          <w:szCs w:val="32"/>
          <w:highlight w:val="none"/>
          <w:lang w:val="en-US" w:eastAsia="en-US"/>
        </w:rPr>
        <w:t>第十七条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建设产生、贮存、利用、处置固体废物的项目，应当依法进行环境影响评价，并遵守国家有关建设项目环境保护管理的规定</w:t>
      </w:r>
      <w:r>
        <w:rPr>
          <w:rFonts w:hint="eastAsia" w:ascii="方正仿宋_GBK" w:hAnsi="方正仿宋_GBK" w:eastAsia="方正仿宋_GBK" w:cs="方正仿宋_GBK"/>
          <w:b w:val="0"/>
          <w:bCs w:val="0"/>
          <w:color w:val="auto"/>
          <w:sz w:val="32"/>
          <w:szCs w:val="32"/>
          <w:highlight w:val="none"/>
          <w:lang w:val="en-US" w:eastAsia="zh-CN"/>
        </w:rPr>
        <w:t>；</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《固废法》第十八条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建设项目的环境影响评价文件确定需要配套建设的固体废物污染环境防治设施，应当与主体工程同时设计、同时施工、同时投入使用。建设项目的初步设计，应当按照环境保护设计规范的要求，将固体废物污染环境防治内容纳入环境影响评价文件，落实防治固体废物污染环境和破坏生态的措施以及固体废物污染环境防治设施投资概算</w:t>
      </w:r>
      <w:r>
        <w:rPr>
          <w:rFonts w:hint="eastAsia" w:ascii="方正仿宋_GBK" w:hAnsi="方正仿宋_GBK" w:eastAsia="方正仿宋_GBK" w:cs="方正仿宋_GBK"/>
          <w:b w:val="0"/>
          <w:bCs w:val="0"/>
          <w:color w:val="auto"/>
          <w:sz w:val="32"/>
          <w:szCs w:val="32"/>
          <w:highlight w:val="none"/>
          <w:lang w:val="en-US" w:eastAsia="zh-CN"/>
        </w:rPr>
        <w:t>。</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建设单位应当依照有关法律法规的规定，对配套建设的固体废物污染环境防治设施进行验收，编制验收报告，并向社会公开。</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二、排污许可制度</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（一）评估要点</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（1）在排污许可证“固体废物排放信息”部分，应载明一般工业固体废物的排放信息。</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2022年1月1日后首次申请</w:t>
      </w:r>
      <w:r>
        <w:rPr>
          <w:rFonts w:hint="eastAsia" w:ascii="方正仿宋_GBK" w:hAnsi="方正仿宋_GBK" w:eastAsia="方正仿宋_GBK" w:cs="方正仿宋_GBK"/>
          <w:b w:val="0"/>
          <w:bCs w:val="0"/>
          <w:color w:val="auto"/>
          <w:sz w:val="32"/>
          <w:szCs w:val="32"/>
          <w:highlight w:val="none"/>
          <w:lang w:val="en-US" w:eastAsia="zh-CN"/>
        </w:rPr>
        <w:t>或由于</w:t>
      </w:r>
      <w:r>
        <w:rPr>
          <w:rFonts w:hint="eastAsia" w:ascii="方正仿宋_GBK" w:hAnsi="方正仿宋_GBK" w:eastAsia="方正仿宋_GBK" w:cs="方正仿宋_GBK"/>
          <w:b w:val="0"/>
          <w:bCs w:val="0"/>
          <w:color w:val="auto"/>
          <w:sz w:val="32"/>
          <w:szCs w:val="32"/>
          <w:highlight w:val="none"/>
          <w:lang w:val="en-US" w:eastAsia="en-US"/>
        </w:rPr>
        <w:t>有效期届满</w:t>
      </w:r>
      <w:r>
        <w:rPr>
          <w:rFonts w:hint="eastAsia" w:ascii="方正仿宋_GBK" w:hAnsi="方正仿宋_GBK" w:eastAsia="方正仿宋_GBK" w:cs="方正仿宋_GBK"/>
          <w:b w:val="0"/>
          <w:bCs w:val="0"/>
          <w:color w:val="auto"/>
          <w:sz w:val="32"/>
          <w:szCs w:val="32"/>
          <w:highlight w:val="none"/>
          <w:lang w:val="en-US" w:eastAsia="zh-CN"/>
        </w:rPr>
        <w:t>及</w:t>
      </w:r>
      <w:r>
        <w:rPr>
          <w:rFonts w:hint="eastAsia" w:ascii="方正仿宋_GBK" w:hAnsi="方正仿宋_GBK" w:eastAsia="方正仿宋_GBK" w:cs="方正仿宋_GBK"/>
          <w:b w:val="0"/>
          <w:bCs w:val="0"/>
          <w:color w:val="auto"/>
          <w:sz w:val="32"/>
          <w:szCs w:val="32"/>
          <w:highlight w:val="none"/>
          <w:lang w:val="en-US" w:eastAsia="en-US"/>
        </w:rPr>
        <w:t>其他原因重新申请、变更的排污许可证，载明一般工业固体废物环境管理要求。</w:t>
      </w:r>
    </w:p>
    <w:p>
      <w:pPr>
        <w:pStyle w:val="12"/>
        <w:keepNext w:val="0"/>
        <w:keepLines w:val="0"/>
        <w:pageBreakBefore w:val="0"/>
        <w:widowControl w:val="0"/>
        <w:numPr>
          <w:ilvl w:val="0"/>
          <w:numId w:val="2"/>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pP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在</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全国排污许可证管理信息平台</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中如实填报了上一年度</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一般工业固废</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电子台账”</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填报网址：</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00" w:firstLineChars="200"/>
        <w:jc w:val="both"/>
        <w:textAlignment w:val="auto"/>
        <w:rPr>
          <w:rFonts w:hint="default" w:ascii="Times New Roman" w:hAnsi="Times New Roman" w:eastAsia="仿宋" w:cs="Times New Roman"/>
          <w:b w:val="0"/>
          <w:bCs w:val="0"/>
          <w:color w:val="auto"/>
          <w:sz w:val="30"/>
          <w:szCs w:val="30"/>
          <w:highlight w:val="none"/>
          <w:lang w:val="en-US" w:eastAsia="zh-CN"/>
        </w:rPr>
      </w:pPr>
      <w:r>
        <w:rPr>
          <w:rFonts w:hint="default" w:ascii="Times New Roman" w:hAnsi="Times New Roman" w:eastAsia="仿宋" w:cs="Times New Roman"/>
          <w:b w:val="0"/>
          <w:bCs w:val="0"/>
          <w:color w:val="auto"/>
          <w:sz w:val="30"/>
          <w:szCs w:val="30"/>
          <w:highlight w:val="none"/>
          <w:lang w:val="en-US" w:eastAsia="zh-CN"/>
        </w:rPr>
        <w:fldChar w:fldCharType="begin"/>
      </w:r>
      <w:r>
        <w:rPr>
          <w:rFonts w:hint="default" w:ascii="Times New Roman" w:hAnsi="Times New Roman" w:eastAsia="仿宋" w:cs="Times New Roman"/>
          <w:b w:val="0"/>
          <w:bCs w:val="0"/>
          <w:color w:val="auto"/>
          <w:sz w:val="30"/>
          <w:szCs w:val="30"/>
          <w:highlight w:val="none"/>
          <w:lang w:val="en-US" w:eastAsia="zh-CN"/>
        </w:rPr>
        <w:instrText xml:space="preserve"> HYPERLINK "https://permit.mee.gov.cn/perxxgkinfo/syssb/xxgk/xxgk!sqqlist.action" </w:instrText>
      </w:r>
      <w:r>
        <w:rPr>
          <w:rFonts w:hint="default" w:ascii="Times New Roman" w:hAnsi="Times New Roman" w:eastAsia="仿宋" w:cs="Times New Roman"/>
          <w:b w:val="0"/>
          <w:bCs w:val="0"/>
          <w:color w:val="auto"/>
          <w:sz w:val="30"/>
          <w:szCs w:val="30"/>
          <w:highlight w:val="none"/>
          <w:lang w:val="en-US" w:eastAsia="zh-CN"/>
        </w:rPr>
        <w:fldChar w:fldCharType="separate"/>
      </w:r>
      <w:r>
        <w:rPr>
          <w:rStyle w:val="14"/>
          <w:rFonts w:hint="default" w:ascii="Times New Roman" w:hAnsi="Times New Roman" w:eastAsia="仿宋" w:cs="Times New Roman"/>
          <w:b w:val="0"/>
          <w:bCs w:val="0"/>
          <w:color w:val="auto"/>
          <w:kern w:val="2"/>
          <w:sz w:val="30"/>
          <w:szCs w:val="30"/>
          <w:highlight w:val="none"/>
          <w:lang w:val="en-US" w:eastAsia="zh-CN" w:bidi="ar-SA"/>
        </w:rPr>
        <w:t>https://permit.mee.gov.cn/perxxgkinfo/syssb/xxgk/xxgk!sqqlist.action</w:t>
      </w:r>
      <w:r>
        <w:rPr>
          <w:rFonts w:hint="default" w:ascii="Times New Roman" w:hAnsi="Times New Roman" w:eastAsia="仿宋" w:cs="Times New Roman"/>
          <w:b w:val="0"/>
          <w:bCs w:val="0"/>
          <w:color w:val="auto"/>
          <w:sz w:val="30"/>
          <w:szCs w:val="30"/>
          <w:highlight w:val="none"/>
          <w:lang w:val="en-US" w:eastAsia="zh-CN"/>
        </w:rPr>
        <w:fldChar w:fldCharType="end"/>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0" w:firstLineChars="0"/>
        <w:jc w:val="center"/>
        <w:textAlignment w:val="auto"/>
        <w:rPr>
          <w:rFonts w:hint="default" w:ascii="Times New Roman" w:hAnsi="Times New Roman" w:eastAsia="仿宋" w:cs="Times New Roman"/>
          <w:b w:val="0"/>
          <w:bCs w:val="0"/>
          <w:color w:val="auto"/>
          <w:sz w:val="30"/>
          <w:szCs w:val="30"/>
          <w:highlight w:val="none"/>
          <w:lang w:val="en-US" w:eastAsia="zh-CN"/>
        </w:rPr>
      </w:pPr>
      <w:r>
        <w:rPr>
          <w:rFonts w:hint="default" w:ascii="Times New Roman" w:hAnsi="Times New Roman" w:eastAsia="仿宋" w:cs="Times New Roman"/>
          <w:b w:val="0"/>
          <w:bCs w:val="0"/>
          <w:color w:val="auto"/>
          <w:sz w:val="30"/>
          <w:szCs w:val="30"/>
          <w:highlight w:val="none"/>
          <w:lang w:val="en-US" w:eastAsia="zh-CN"/>
        </w:rPr>
        <w:drawing>
          <wp:inline distT="0" distB="0" distL="114300" distR="114300">
            <wp:extent cx="5400040" cy="1692275"/>
            <wp:effectExtent l="12700" t="12700" r="16510" b="28575"/>
            <wp:docPr id="9" name="图片 9" descr="a2e252a4a98cd30e6c4bb2a238f0c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2e252a4a98cd30e6c4bb2a238f0c3a"/>
                    <pic:cNvPicPr>
                      <a:picLocks noChangeAspect="1"/>
                    </pic:cNvPicPr>
                  </pic:nvPicPr>
                  <pic:blipFill>
                    <a:blip r:embed="rId7"/>
                    <a:srcRect l="2115" t="2479" r="1766" b="43421"/>
                    <a:stretch>
                      <a:fillRect/>
                    </a:stretch>
                  </pic:blipFill>
                  <pic:spPr>
                    <a:xfrm>
                      <a:off x="0" y="0"/>
                      <a:ext cx="5400040" cy="1692275"/>
                    </a:xfrm>
                    <a:prstGeom prst="rect">
                      <a:avLst/>
                    </a:prstGeom>
                    <a:noFill/>
                    <a:ln w="12700">
                      <a:solidFill>
                        <a:schemeClr val="tx1"/>
                      </a:solidFill>
                    </a:ln>
                  </pic:spPr>
                </pic:pic>
              </a:graphicData>
            </a:graphic>
          </wp:inline>
        </w:drawing>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right="0"/>
        <w:jc w:val="center"/>
        <w:textAlignment w:val="auto"/>
        <w:rPr>
          <w:b w:val="0"/>
          <w:bCs w:val="0"/>
          <w:color w:val="auto"/>
          <w:highlight w:val="none"/>
        </w:rPr>
      </w:pPr>
      <w:r>
        <w:rPr>
          <w:rFonts w:hint="default" w:ascii="Times New Roman" w:hAnsi="Times New Roman" w:eastAsia="仿宋" w:cs="Times New Roman"/>
          <w:b w:val="0"/>
          <w:bCs w:val="0"/>
          <w:color w:val="auto"/>
          <w:sz w:val="30"/>
          <w:szCs w:val="30"/>
          <w:highlight w:val="none"/>
          <w:lang w:val="en-US" w:eastAsia="zh-CN"/>
        </w:rPr>
        <w:drawing>
          <wp:inline distT="0" distB="0" distL="114300" distR="114300">
            <wp:extent cx="5400040" cy="1692275"/>
            <wp:effectExtent l="12700" t="12700" r="16510" b="28575"/>
            <wp:docPr id="8" name="图片 8" descr="58461df677b0fa97e55a02b51bb1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8461df677b0fa97e55a02b51bb147a"/>
                    <pic:cNvPicPr>
                      <a:picLocks noChangeAspect="1"/>
                    </pic:cNvPicPr>
                  </pic:nvPicPr>
                  <pic:blipFill>
                    <a:blip r:embed="rId8"/>
                    <a:srcRect l="1901" r="1688" b="45815"/>
                    <a:stretch>
                      <a:fillRect/>
                    </a:stretch>
                  </pic:blipFill>
                  <pic:spPr>
                    <a:xfrm>
                      <a:off x="0" y="0"/>
                      <a:ext cx="5400040" cy="1692275"/>
                    </a:xfrm>
                    <a:prstGeom prst="rect">
                      <a:avLst/>
                    </a:prstGeom>
                    <a:noFill/>
                    <a:ln w="12700">
                      <a:solidFill>
                        <a:schemeClr val="tx1"/>
                      </a:solidFill>
                    </a:ln>
                  </pic:spPr>
                </pic:pic>
              </a:graphicData>
            </a:graphic>
          </wp:inline>
        </w:drawing>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（二）达标标准</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按照《排污许可证申请与核发技术规范</w:t>
      </w:r>
      <w:r>
        <w:rPr>
          <w:rFonts w:hint="eastAsia" w:ascii="方正仿宋_GBK" w:hAnsi="方正仿宋_GBK" w:eastAsia="方正仿宋_GBK" w:cs="方正仿宋_GBK"/>
          <w:b w:val="0"/>
          <w:bCs w:val="0"/>
          <w:color w:val="auto"/>
          <w:sz w:val="32"/>
          <w:szCs w:val="32"/>
          <w:highlight w:val="none"/>
          <w:lang w:val="en-US" w:eastAsia="zh-CN"/>
        </w:rPr>
        <w:t xml:space="preserve"> </w:t>
      </w:r>
      <w:r>
        <w:rPr>
          <w:rFonts w:hint="eastAsia" w:ascii="方正仿宋_GBK" w:hAnsi="方正仿宋_GBK" w:eastAsia="方正仿宋_GBK" w:cs="方正仿宋_GBK"/>
          <w:b w:val="0"/>
          <w:bCs w:val="0"/>
          <w:color w:val="auto"/>
          <w:sz w:val="32"/>
          <w:szCs w:val="32"/>
          <w:highlight w:val="none"/>
          <w:lang w:val="en-US" w:eastAsia="en-US"/>
        </w:rPr>
        <w:t>工业固体废物（试行）》（HJ</w:t>
      </w:r>
      <w:r>
        <w:rPr>
          <w:rFonts w:hint="eastAsia" w:ascii="方正仿宋_GBK" w:hAnsi="方正仿宋_GBK" w:eastAsia="方正仿宋_GBK" w:cs="方正仿宋_GBK"/>
          <w:b w:val="0"/>
          <w:bCs w:val="0"/>
          <w:color w:val="auto"/>
          <w:sz w:val="32"/>
          <w:szCs w:val="32"/>
          <w:highlight w:val="none"/>
          <w:lang w:val="en-US" w:eastAsia="zh-CN"/>
        </w:rPr>
        <w:t xml:space="preserve"> </w:t>
      </w:r>
      <w:r>
        <w:rPr>
          <w:rFonts w:hint="eastAsia" w:ascii="方正仿宋_GBK" w:hAnsi="方正仿宋_GBK" w:eastAsia="方正仿宋_GBK" w:cs="方正仿宋_GBK"/>
          <w:b w:val="0"/>
          <w:bCs w:val="0"/>
          <w:color w:val="auto"/>
          <w:sz w:val="32"/>
          <w:szCs w:val="32"/>
          <w:highlight w:val="none"/>
          <w:lang w:val="en-US" w:eastAsia="en-US"/>
        </w:rPr>
        <w:t>1200）和相关行业排污许可证申请与核发技术规范申领排污许可证，核发的排污许可证中载明</w:t>
      </w:r>
      <w:r>
        <w:rPr>
          <w:rFonts w:hint="eastAsia" w:ascii="方正仿宋_GBK" w:hAnsi="方正仿宋_GBK" w:eastAsia="方正仿宋_GBK" w:cs="方正仿宋_GBK"/>
          <w:b w:val="0"/>
          <w:bCs w:val="0"/>
          <w:color w:val="auto"/>
          <w:sz w:val="32"/>
          <w:szCs w:val="32"/>
          <w:highlight w:val="none"/>
          <w:lang w:val="en-US" w:eastAsia="zh-CN"/>
        </w:rPr>
        <w:t>一般工业固废的排放信息及环境管理要求。</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（三）注意事项</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2022年1月1日前已经申请取得排污许可证的产生单位，在排污许可证有效期内无需针对环境管理要求单独申请变更或重新申请排污许可证。本项细则记满分。</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en-US"/>
        </w:rPr>
        <w:t>（四）法律依据</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val="en-US" w:eastAsia="en-US"/>
        </w:rPr>
        <w:t>《固废法》第三十九条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产生工业固体废物的单位应当取得排污许可证。排污许可的具体办法和实施步骤由国务院规定</w:t>
      </w:r>
      <w:r>
        <w:rPr>
          <w:rFonts w:hint="eastAsia" w:ascii="方正仿宋_GBK" w:hAnsi="方正仿宋_GBK" w:eastAsia="方正仿宋_GBK" w:cs="方正仿宋_GBK"/>
          <w:b w:val="0"/>
          <w:bCs w:val="0"/>
          <w:color w:val="auto"/>
          <w:sz w:val="32"/>
          <w:szCs w:val="32"/>
          <w:highlight w:val="none"/>
          <w:lang w:val="en-US" w:eastAsia="zh-CN"/>
        </w:rPr>
        <w:t>。</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《排污许可管理条例》（国务院令第736号）</w:t>
      </w:r>
      <w:r>
        <w:rPr>
          <w:rFonts w:hint="eastAsia" w:ascii="方正仿宋_GBK" w:hAnsi="方正仿宋_GBK" w:eastAsia="方正仿宋_GBK" w:cs="方正仿宋_GBK"/>
          <w:b w:val="0"/>
          <w:bCs w:val="0"/>
          <w:color w:val="auto"/>
          <w:sz w:val="32"/>
          <w:szCs w:val="32"/>
          <w:highlight w:val="none"/>
          <w:lang w:val="en-US" w:eastAsia="zh-CN"/>
        </w:rPr>
        <w:t>。</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w:t>
      </w:r>
      <w:r>
        <w:rPr>
          <w:rFonts w:hint="eastAsia" w:ascii="方正仿宋_GBK" w:hAnsi="方正仿宋_GBK" w:eastAsia="方正仿宋_GBK" w:cs="方正仿宋_GBK"/>
          <w:b w:val="0"/>
          <w:bCs w:val="0"/>
          <w:color w:val="auto"/>
          <w:sz w:val="32"/>
          <w:szCs w:val="32"/>
          <w:highlight w:val="none"/>
          <w:lang w:val="en-US" w:eastAsia="en-US"/>
        </w:rPr>
        <w:t>《排污许可管理办法》（生态环境部令2024年第32号）</w:t>
      </w:r>
      <w:r>
        <w:rPr>
          <w:rFonts w:hint="eastAsia" w:ascii="方正仿宋_GBK" w:hAnsi="方正仿宋_GBK" w:eastAsia="方正仿宋_GBK" w:cs="方正仿宋_GBK"/>
          <w:b w:val="0"/>
          <w:bCs w:val="0"/>
          <w:color w:val="auto"/>
          <w:sz w:val="32"/>
          <w:szCs w:val="32"/>
          <w:highlight w:val="none"/>
          <w:lang w:val="en-US" w:eastAsia="zh-CN"/>
        </w:rPr>
        <w:t>。</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（4）</w:t>
      </w:r>
      <w:r>
        <w:rPr>
          <w:rFonts w:hint="eastAsia" w:ascii="方正仿宋_GBK" w:hAnsi="方正仿宋_GBK" w:eastAsia="方正仿宋_GBK" w:cs="方正仿宋_GBK"/>
          <w:b w:val="0"/>
          <w:bCs w:val="0"/>
          <w:color w:val="auto"/>
          <w:sz w:val="32"/>
          <w:szCs w:val="32"/>
          <w:highlight w:val="none"/>
          <w:lang w:val="en-US" w:eastAsia="en-US"/>
        </w:rPr>
        <w:t>《排污许可证申请与核发技术规范工业固体废物（试行）》（HJ</w:t>
      </w:r>
      <w:r>
        <w:rPr>
          <w:rFonts w:hint="eastAsia" w:ascii="方正仿宋_GBK" w:hAnsi="方正仿宋_GBK" w:eastAsia="方正仿宋_GBK" w:cs="方正仿宋_GBK"/>
          <w:b w:val="0"/>
          <w:bCs w:val="0"/>
          <w:color w:val="auto"/>
          <w:sz w:val="32"/>
          <w:szCs w:val="32"/>
          <w:highlight w:val="none"/>
          <w:lang w:val="en-US" w:eastAsia="zh-CN"/>
        </w:rPr>
        <w:t xml:space="preserve"> </w:t>
      </w:r>
      <w:r>
        <w:rPr>
          <w:rFonts w:hint="eastAsia" w:ascii="方正仿宋_GBK" w:hAnsi="方正仿宋_GBK" w:eastAsia="方正仿宋_GBK" w:cs="方正仿宋_GBK"/>
          <w:b w:val="0"/>
          <w:bCs w:val="0"/>
          <w:color w:val="auto"/>
          <w:sz w:val="32"/>
          <w:szCs w:val="32"/>
          <w:highlight w:val="none"/>
          <w:lang w:val="en-US" w:eastAsia="en-US"/>
        </w:rPr>
        <w:t>1200）</w:t>
      </w:r>
      <w:r>
        <w:rPr>
          <w:rFonts w:hint="eastAsia" w:ascii="方正仿宋_GBK" w:hAnsi="方正仿宋_GBK" w:eastAsia="方正仿宋_GBK" w:cs="方正仿宋_GBK"/>
          <w:b w:val="0"/>
          <w:bCs w:val="0"/>
          <w:color w:val="auto"/>
          <w:sz w:val="32"/>
          <w:szCs w:val="32"/>
          <w:highlight w:val="none"/>
          <w:lang w:val="en-US" w:eastAsia="zh-CN"/>
        </w:rPr>
        <w:t>。</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（5）</w:t>
      </w:r>
      <w:r>
        <w:rPr>
          <w:rFonts w:hint="eastAsia" w:ascii="方正仿宋_GBK" w:hAnsi="方正仿宋_GBK" w:eastAsia="方正仿宋_GBK" w:cs="方正仿宋_GBK"/>
          <w:b w:val="0"/>
          <w:bCs w:val="0"/>
          <w:color w:val="auto"/>
          <w:sz w:val="32"/>
          <w:szCs w:val="32"/>
          <w:highlight w:val="none"/>
          <w:lang w:val="en-US" w:eastAsia="en-US"/>
        </w:rPr>
        <w:t>《关于开展工业固体废物排污许可管理工作的通知》（环办环评〔2021〕26号）</w:t>
      </w:r>
      <w:r>
        <w:rPr>
          <w:rFonts w:hint="eastAsia" w:ascii="方正仿宋_GBK" w:hAnsi="方正仿宋_GBK" w:eastAsia="方正仿宋_GBK" w:cs="方正仿宋_GBK"/>
          <w:b w:val="0"/>
          <w:bCs w:val="0"/>
          <w:color w:val="auto"/>
          <w:sz w:val="32"/>
          <w:szCs w:val="32"/>
          <w:highlight w:val="none"/>
          <w:lang w:val="en-US" w:eastAsia="zh-CN"/>
        </w:rPr>
        <w:t>。</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三、清洁生产制度</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（一）评估要点</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（1）依据重庆市生态环境局《</w:t>
      </w:r>
      <w:r>
        <w:rPr>
          <w:rFonts w:hint="eastAsia" w:ascii="方正仿宋_GBK" w:hAnsi="方正仿宋_GBK" w:eastAsia="方正仿宋_GBK" w:cs="方正仿宋_GBK"/>
          <w:b w:val="0"/>
          <w:bCs w:val="0"/>
          <w:color w:val="auto"/>
          <w:sz w:val="32"/>
          <w:szCs w:val="32"/>
          <w:highlight w:val="none"/>
          <w:lang w:val="en-US" w:eastAsia="en-US"/>
        </w:rPr>
        <w:t>关于推荐清洁生产审核创新试点项目的通知》</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渝环〔2022〕73号</w:t>
      </w:r>
      <w:r>
        <w:rPr>
          <w:rFonts w:hint="eastAsia" w:ascii="方正仿宋_GBK" w:hAnsi="方正仿宋_GBK" w:eastAsia="方正仿宋_GBK" w:cs="方正仿宋_GBK"/>
          <w:b w:val="0"/>
          <w:bCs w:val="0"/>
          <w:color w:val="auto"/>
          <w:sz w:val="32"/>
          <w:szCs w:val="32"/>
          <w:highlight w:val="none"/>
          <w:lang w:val="en-US" w:eastAsia="zh-CN"/>
        </w:rPr>
        <w:t>）和《20XX</w:t>
      </w:r>
      <w:r>
        <w:rPr>
          <w:rFonts w:hint="eastAsia" w:ascii="方正仿宋_GBK" w:hAnsi="方正仿宋_GBK" w:eastAsia="方正仿宋_GBK" w:cs="方正仿宋_GBK"/>
          <w:b w:val="0"/>
          <w:bCs w:val="0"/>
          <w:color w:val="auto"/>
          <w:sz w:val="32"/>
          <w:szCs w:val="32"/>
          <w:highlight w:val="none"/>
          <w:lang w:val="en-US" w:eastAsia="en-US"/>
        </w:rPr>
        <w:t>年度清洁生产审核企业名单</w:t>
      </w:r>
      <w:r>
        <w:rPr>
          <w:rFonts w:hint="eastAsia" w:ascii="方正仿宋_GBK" w:hAnsi="方正仿宋_GBK" w:eastAsia="方正仿宋_GBK" w:cs="方正仿宋_GBK"/>
          <w:b w:val="0"/>
          <w:bCs w:val="0"/>
          <w:color w:val="auto"/>
          <w:sz w:val="32"/>
          <w:szCs w:val="32"/>
          <w:highlight w:val="none"/>
          <w:lang w:val="en-US" w:eastAsia="zh-CN"/>
        </w:rPr>
        <w:t>》等文件，相关企业应依法依规</w:t>
      </w:r>
      <w:r>
        <w:rPr>
          <w:rFonts w:hint="eastAsia" w:ascii="方正仿宋_GBK" w:hAnsi="方正仿宋_GBK" w:eastAsia="方正仿宋_GBK" w:cs="方正仿宋_GBK"/>
          <w:b w:val="0"/>
          <w:bCs w:val="0"/>
          <w:color w:val="auto"/>
          <w:sz w:val="32"/>
          <w:szCs w:val="32"/>
          <w:highlight w:val="none"/>
          <w:lang w:val="en-US" w:eastAsia="en-US"/>
        </w:rPr>
        <w:t>实施清洁生产审核</w:t>
      </w:r>
      <w:r>
        <w:rPr>
          <w:rFonts w:hint="eastAsia" w:ascii="方正仿宋_GBK" w:hAnsi="方正仿宋_GBK" w:eastAsia="方正仿宋_GBK" w:cs="方正仿宋_GBK"/>
          <w:b w:val="0"/>
          <w:bCs w:val="0"/>
          <w:color w:val="auto"/>
          <w:sz w:val="32"/>
          <w:szCs w:val="32"/>
          <w:highlight w:val="none"/>
          <w:lang w:val="en-US" w:eastAsia="zh-CN"/>
        </w:rPr>
        <w:t>。</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right="0"/>
        <w:jc w:val="both"/>
        <w:textAlignment w:val="auto"/>
        <w:rPr>
          <w:rFonts w:hint="default" w:ascii="Times New Roman" w:hAnsi="Times New Roman" w:eastAsia="仿宋" w:cs="Times New Roman"/>
          <w:b w:val="0"/>
          <w:bCs w:val="0"/>
          <w:color w:val="auto"/>
          <w:sz w:val="30"/>
          <w:szCs w:val="30"/>
          <w:highlight w:val="none"/>
          <w:lang w:val="en-US" w:eastAsia="zh-CN"/>
        </w:rPr>
      </w:pPr>
      <w:r>
        <w:rPr>
          <w:b w:val="0"/>
          <w:bCs w:val="0"/>
          <w:color w:val="auto"/>
          <w:highlight w:val="none"/>
        </w:rPr>
        <w:drawing>
          <wp:inline distT="0" distB="0" distL="114300" distR="114300">
            <wp:extent cx="5652135" cy="1419860"/>
            <wp:effectExtent l="12700" t="12700" r="31115" b="1524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9"/>
                    <a:stretch>
                      <a:fillRect/>
                    </a:stretch>
                  </pic:blipFill>
                  <pic:spPr>
                    <a:xfrm>
                      <a:off x="0" y="0"/>
                      <a:ext cx="5652135" cy="1419860"/>
                    </a:xfrm>
                    <a:prstGeom prst="rect">
                      <a:avLst/>
                    </a:prstGeom>
                    <a:noFill/>
                    <a:ln w="12700">
                      <a:solidFill>
                        <a:schemeClr val="tx1"/>
                      </a:solidFill>
                    </a:ln>
                  </pic:spPr>
                </pic:pic>
              </a:graphicData>
            </a:graphic>
          </wp:inline>
        </w:drawing>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实施强制性清洁生产审核的企业，</w:t>
      </w:r>
      <w:r>
        <w:rPr>
          <w:rFonts w:hint="eastAsia" w:ascii="方正仿宋_GBK" w:hAnsi="方正仿宋_GBK" w:eastAsia="方正仿宋_GBK" w:cs="方正仿宋_GBK"/>
          <w:b w:val="0"/>
          <w:bCs w:val="0"/>
          <w:color w:val="auto"/>
          <w:sz w:val="32"/>
          <w:szCs w:val="32"/>
          <w:highlight w:val="none"/>
          <w:lang w:val="en-US" w:eastAsia="zh-CN"/>
        </w:rPr>
        <w:t>应通过清洁生产审核</w:t>
      </w:r>
      <w:r>
        <w:rPr>
          <w:rFonts w:hint="eastAsia" w:ascii="方正仿宋_GBK" w:hAnsi="方正仿宋_GBK" w:eastAsia="方正仿宋_GBK" w:cs="方正仿宋_GBK"/>
          <w:b w:val="0"/>
          <w:bCs w:val="0"/>
          <w:color w:val="auto"/>
          <w:sz w:val="32"/>
          <w:szCs w:val="32"/>
          <w:highlight w:val="none"/>
          <w:lang w:val="en-US" w:eastAsia="en-US"/>
        </w:rPr>
        <w:t>减少一般工业固体废物</w:t>
      </w:r>
      <w:r>
        <w:rPr>
          <w:rFonts w:hint="eastAsia" w:ascii="方正仿宋_GBK" w:hAnsi="方正仿宋_GBK" w:eastAsia="方正仿宋_GBK" w:cs="方正仿宋_GBK"/>
          <w:b w:val="0"/>
          <w:bCs w:val="0"/>
          <w:color w:val="auto"/>
          <w:sz w:val="32"/>
          <w:szCs w:val="32"/>
          <w:highlight w:val="none"/>
          <w:lang w:val="en-US" w:eastAsia="zh-CN"/>
        </w:rPr>
        <w:t>的</w:t>
      </w:r>
      <w:r>
        <w:rPr>
          <w:rFonts w:hint="eastAsia" w:ascii="方正仿宋_GBK" w:hAnsi="方正仿宋_GBK" w:eastAsia="方正仿宋_GBK" w:cs="方正仿宋_GBK"/>
          <w:b w:val="0"/>
          <w:bCs w:val="0"/>
          <w:color w:val="auto"/>
          <w:sz w:val="32"/>
          <w:szCs w:val="32"/>
          <w:highlight w:val="none"/>
          <w:lang w:val="en-US" w:eastAsia="en-US"/>
        </w:rPr>
        <w:t>产生量，并将实施情况纳入清洁生产审核报告。</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（二）达标标准</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执行</w:t>
      </w:r>
      <w:r>
        <w:rPr>
          <w:rFonts w:hint="eastAsia" w:ascii="方正仿宋_GBK" w:hAnsi="方正仿宋_GBK" w:eastAsia="方正仿宋_GBK" w:cs="方正仿宋_GBK"/>
          <w:b w:val="0"/>
          <w:bCs w:val="0"/>
          <w:color w:val="auto"/>
          <w:sz w:val="32"/>
          <w:szCs w:val="32"/>
          <w:highlight w:val="none"/>
          <w:lang w:val="en-US" w:eastAsia="en-US"/>
        </w:rPr>
        <w:t>强制性清洁生产审核的企业</w:t>
      </w:r>
      <w:r>
        <w:rPr>
          <w:rFonts w:hint="eastAsia" w:ascii="方正仿宋_GBK" w:hAnsi="方正仿宋_GBK" w:eastAsia="方正仿宋_GBK" w:cs="方正仿宋_GBK"/>
          <w:b w:val="0"/>
          <w:bCs w:val="0"/>
          <w:color w:val="auto"/>
          <w:sz w:val="32"/>
          <w:szCs w:val="32"/>
          <w:highlight w:val="none"/>
          <w:lang w:val="en-US" w:eastAsia="zh-CN"/>
        </w:rPr>
        <w:t>按规定实施清洁生产审核，减少了一般工业固体废物产生量</w:t>
      </w:r>
      <w:r>
        <w:rPr>
          <w:rFonts w:hint="eastAsia" w:ascii="方正仿宋_GBK" w:hAnsi="方正仿宋_GBK" w:eastAsia="方正仿宋_GBK" w:cs="方正仿宋_GBK"/>
          <w:b w:val="0"/>
          <w:bCs w:val="0"/>
          <w:color w:val="auto"/>
          <w:sz w:val="32"/>
          <w:szCs w:val="32"/>
          <w:highlight w:val="none"/>
          <w:lang w:val="en-US" w:eastAsia="en-US"/>
        </w:rPr>
        <w:t>，并将实施情况纳入清洁生产审核报告。</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（三）注意事项</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未列入区级或市级“清洁生产审核企业名单”的企业，该项制度不计分。</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（四）法律依据</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《固废法》第三十八条：产生工业固体废物的单位应当依法实施清洁生产审核，合理选择和利用原材料、能源和其他资源，采用先进的生产工艺和设备，减少工业固体废物的产生量，降低工业固体废物的危害性。</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四、管理台账制度</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（一）评估要点</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snapToGrid/>
          <w:color w:val="auto"/>
          <w:spacing w:val="0"/>
          <w:kern w:val="0"/>
          <w:sz w:val="32"/>
          <w:szCs w:val="32"/>
          <w:highlight w:val="none"/>
          <w:lang w:val="en-US" w:eastAsia="zh-CN"/>
        </w:rPr>
        <w:t>产生一般工业固体废物的规模以上、年产生量100吨及以上（近三年内）的企业</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，应当建立产生、入库、出库、自行利用处置等各环节的电子台账，全面、准确地记录一般工业固体废物种类、代码、数量、流向、贮存、利用、处置等信息。</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（2）依据《一般工业固体废物管理台账制定指南（试行）》（生态环境部公告2021年第82号）和相关行业标准，一般工业固体废物产生单位应当设立专人负责台账的管理与归档，且管理台账的保存期限不少于5年。</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（3）</w:t>
      </w:r>
      <w:r>
        <w:rPr>
          <w:rFonts w:hint="eastAsia" w:ascii="方正仿宋_GBK" w:hAnsi="方正仿宋_GBK" w:eastAsia="方正仿宋_GBK" w:cs="方正仿宋_GBK"/>
          <w:b w:val="0"/>
          <w:bCs w:val="0"/>
          <w:color w:val="auto"/>
          <w:sz w:val="32"/>
          <w:szCs w:val="32"/>
          <w:highlight w:val="none"/>
          <w:lang w:val="en-US" w:eastAsia="en-US"/>
        </w:rPr>
        <w:t>产生尾矿的单位应当通过信息系统填报有关信息。</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填报网址：</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00" w:firstLineChars="200"/>
        <w:jc w:val="both"/>
        <w:textAlignment w:val="auto"/>
        <w:rPr>
          <w:rFonts w:hint="default" w:ascii="Times New Roman" w:hAnsi="Times New Roman" w:eastAsia="仿宋" w:cs="Times New Roman"/>
          <w:b w:val="0"/>
          <w:bCs w:val="0"/>
          <w:color w:val="auto"/>
          <w:sz w:val="30"/>
          <w:szCs w:val="30"/>
          <w:highlight w:val="none"/>
          <w:lang w:val="en-US" w:eastAsia="zh-CN"/>
        </w:rPr>
      </w:pPr>
      <w:r>
        <w:rPr>
          <w:rFonts w:hint="default" w:ascii="Times New Roman" w:hAnsi="Times New Roman" w:eastAsia="仿宋" w:cs="Times New Roman"/>
          <w:b w:val="0"/>
          <w:bCs w:val="0"/>
          <w:color w:val="auto"/>
          <w:sz w:val="30"/>
          <w:szCs w:val="30"/>
          <w:highlight w:val="none"/>
          <w:lang w:val="en-US" w:eastAsia="zh-CN"/>
        </w:rPr>
        <w:fldChar w:fldCharType="begin"/>
      </w:r>
      <w:r>
        <w:rPr>
          <w:rFonts w:hint="default" w:ascii="Times New Roman" w:hAnsi="Times New Roman" w:eastAsia="仿宋" w:cs="Times New Roman"/>
          <w:b w:val="0"/>
          <w:bCs w:val="0"/>
          <w:color w:val="auto"/>
          <w:sz w:val="30"/>
          <w:szCs w:val="30"/>
          <w:highlight w:val="none"/>
          <w:lang w:val="en-US" w:eastAsia="zh-CN"/>
        </w:rPr>
        <w:instrText xml:space="preserve"> HYPERLINK "http://36.110.12.227:15000/index/#/user/login?redirect=%2F" </w:instrText>
      </w:r>
      <w:r>
        <w:rPr>
          <w:rFonts w:hint="default" w:ascii="Times New Roman" w:hAnsi="Times New Roman" w:eastAsia="仿宋" w:cs="Times New Roman"/>
          <w:b w:val="0"/>
          <w:bCs w:val="0"/>
          <w:color w:val="auto"/>
          <w:sz w:val="30"/>
          <w:szCs w:val="30"/>
          <w:highlight w:val="none"/>
          <w:lang w:val="en-US" w:eastAsia="zh-CN"/>
        </w:rPr>
        <w:fldChar w:fldCharType="separate"/>
      </w:r>
      <w:r>
        <w:rPr>
          <w:rStyle w:val="14"/>
          <w:rFonts w:hint="default" w:ascii="Times New Roman" w:hAnsi="Times New Roman" w:eastAsia="仿宋" w:cs="Times New Roman"/>
          <w:b w:val="0"/>
          <w:bCs w:val="0"/>
          <w:color w:val="auto"/>
          <w:kern w:val="2"/>
          <w:sz w:val="30"/>
          <w:szCs w:val="30"/>
          <w:highlight w:val="none"/>
          <w:lang w:val="en-US" w:eastAsia="zh-CN" w:bidi="ar-SA"/>
        </w:rPr>
        <w:t>http://36.110.12.227:15000/index/#/user/login?redirect=%2F</w:t>
      </w:r>
      <w:r>
        <w:rPr>
          <w:rFonts w:hint="default" w:ascii="Times New Roman" w:hAnsi="Times New Roman" w:eastAsia="仿宋" w:cs="Times New Roman"/>
          <w:b w:val="0"/>
          <w:bCs w:val="0"/>
          <w:color w:val="auto"/>
          <w:sz w:val="30"/>
          <w:szCs w:val="30"/>
          <w:highlight w:val="none"/>
          <w:lang w:val="en-US" w:eastAsia="zh-CN"/>
        </w:rPr>
        <w:fldChar w:fldCharType="end"/>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right="0"/>
        <w:jc w:val="center"/>
        <w:textAlignment w:val="auto"/>
        <w:rPr>
          <w:rFonts w:hint="eastAsia" w:ascii="Times New Roman" w:hAnsi="Times New Roman" w:eastAsia="仿宋" w:cs="Times New Roman"/>
          <w:b w:val="0"/>
          <w:bCs w:val="0"/>
          <w:color w:val="auto"/>
          <w:sz w:val="30"/>
          <w:szCs w:val="30"/>
          <w:highlight w:val="none"/>
          <w:lang w:val="en-US" w:eastAsia="zh-CN"/>
        </w:rPr>
      </w:pPr>
      <w:r>
        <w:rPr>
          <w:b w:val="0"/>
          <w:bCs w:val="0"/>
          <w:color w:val="auto"/>
          <w:highlight w:val="none"/>
        </w:rPr>
        <w:drawing>
          <wp:inline distT="0" distB="0" distL="114300" distR="114300">
            <wp:extent cx="2354580" cy="2879725"/>
            <wp:effectExtent l="12700" t="12700" r="13970" b="2222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0"/>
                    <a:stretch>
                      <a:fillRect/>
                    </a:stretch>
                  </pic:blipFill>
                  <pic:spPr>
                    <a:xfrm>
                      <a:off x="0" y="0"/>
                      <a:ext cx="2354580" cy="2879725"/>
                    </a:xfrm>
                    <a:prstGeom prst="rect">
                      <a:avLst/>
                    </a:prstGeom>
                    <a:noFill/>
                    <a:ln w="12700">
                      <a:solidFill>
                        <a:schemeClr val="tx1"/>
                      </a:solidFill>
                    </a:ln>
                  </pic:spPr>
                </pic:pic>
              </a:graphicData>
            </a:graphic>
          </wp:inline>
        </w:drawing>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（二）达标标准</w:t>
      </w:r>
    </w:p>
    <w:p>
      <w:pPr>
        <w:pStyle w:val="12"/>
        <w:widowControl w:val="0"/>
        <w:pBdr>
          <w:top w:val="none" w:color="auto" w:sz="0" w:space="0"/>
          <w:left w:val="none" w:color="auto" w:sz="0" w:space="0"/>
          <w:bottom w:val="none" w:color="auto" w:sz="0" w:space="0"/>
          <w:right w:val="none" w:color="auto" w:sz="0" w:space="0"/>
        </w:pBdr>
        <w:shd w:val="clear"/>
        <w:adjustRightInd/>
        <w:snapToGrid w:val="0"/>
        <w:spacing w:beforeAutospacing="0" w:afterAutospacing="0"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bidi="ar-SA"/>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产废</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单位按规定建立一般工业固体废物管理台账，且</w:t>
      </w:r>
      <w:r>
        <w:rPr>
          <w:rFonts w:hint="eastAsia" w:ascii="方正仿宋_GBK" w:hAnsi="方正仿宋_GBK" w:eastAsia="方正仿宋_GBK" w:cs="方正仿宋_GBK"/>
          <w:b w:val="0"/>
          <w:bCs w:val="0"/>
          <w:color w:val="auto"/>
          <w:sz w:val="32"/>
          <w:szCs w:val="32"/>
          <w:highlight w:val="none"/>
          <w:lang w:val="en-US" w:eastAsia="zh-CN"/>
        </w:rPr>
        <w:t>管理台账</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符合保存年限要求。产生尾矿的单位通过</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全国固体废物和化学品管理信息系统—尾矿环境管理信息子系统</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”准确填报有关信息</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w:t>
      </w:r>
    </w:p>
    <w:p>
      <w:pPr>
        <w:pStyle w:val="12"/>
        <w:widowControl w:val="0"/>
        <w:pBdr>
          <w:top w:val="none" w:color="auto" w:sz="0" w:space="0"/>
          <w:left w:val="none" w:color="auto" w:sz="0" w:space="0"/>
          <w:bottom w:val="none" w:color="auto" w:sz="0" w:space="0"/>
          <w:right w:val="none" w:color="auto" w:sz="0" w:space="0"/>
        </w:pBdr>
        <w:shd w:val="clear"/>
        <w:adjustRightInd/>
        <w:snapToGrid w:val="0"/>
        <w:spacing w:beforeAutospacing="0" w:afterAutospacing="0" w:line="600" w:lineRule="atLeast"/>
        <w:ind w:firstLine="640" w:firstLineChars="200"/>
        <w:jc w:val="both"/>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pP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（三）</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注意事项</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snapToGrid/>
          <w:color w:val="auto"/>
          <w:spacing w:val="0"/>
          <w:sz w:val="32"/>
          <w:szCs w:val="32"/>
          <w:highlight w:val="none"/>
          <w:lang w:val="en-US" w:eastAsia="zh-CN" w:bidi="ar-SA"/>
        </w:rPr>
      </w:pPr>
      <w:r>
        <w:rPr>
          <w:rFonts w:hint="eastAsia" w:ascii="方正仿宋_GBK" w:hAnsi="方正仿宋_GBK" w:eastAsia="方正仿宋_GBK" w:cs="方正仿宋_GBK"/>
          <w:b w:val="0"/>
          <w:bCs w:val="0"/>
          <w:snapToGrid/>
          <w:color w:val="auto"/>
          <w:spacing w:val="0"/>
          <w:sz w:val="32"/>
          <w:szCs w:val="32"/>
          <w:highlight w:val="none"/>
          <w:lang w:val="en-US" w:eastAsia="zh-CN" w:bidi="ar-SA"/>
        </w:rPr>
        <w:t>（1）电子台账包括：信息系统（巴渝治废等）导出文件、表格或文档三种类型；</w:t>
      </w:r>
      <w:r>
        <w:rPr>
          <w:rFonts w:hint="eastAsia" w:ascii="方正仿宋_GBK" w:hAnsi="方正仿宋_GBK" w:eastAsia="方正仿宋_GBK" w:cs="方正仿宋_GBK"/>
          <w:b w:val="0"/>
          <w:bCs w:val="0"/>
          <w:snapToGrid/>
          <w:color w:val="auto"/>
          <w:spacing w:val="0"/>
          <w:sz w:val="32"/>
          <w:szCs w:val="32"/>
          <w:highlight w:val="none"/>
          <w:lang w:eastAsia="en-US" w:bidi="ar-SA"/>
        </w:rPr>
        <w:t>鼓励优先建立电子台账</w:t>
      </w:r>
      <w:r>
        <w:rPr>
          <w:rFonts w:hint="eastAsia" w:ascii="方正仿宋_GBK" w:hAnsi="方正仿宋_GBK" w:eastAsia="方正仿宋_GBK" w:cs="方正仿宋_GBK"/>
          <w:b w:val="0"/>
          <w:bCs w:val="0"/>
          <w:snapToGrid/>
          <w:color w:val="auto"/>
          <w:spacing w:val="0"/>
          <w:sz w:val="32"/>
          <w:szCs w:val="32"/>
          <w:highlight w:val="none"/>
          <w:lang w:val="en-US" w:eastAsia="zh-CN" w:bidi="ar-SA"/>
        </w:rPr>
        <w:t>。</w:t>
      </w:r>
      <w:r>
        <w:rPr>
          <w:rFonts w:hint="eastAsia" w:ascii="方正仿宋_GBK" w:hAnsi="方正仿宋_GBK" w:eastAsia="方正仿宋_GBK" w:cs="方正仿宋_GBK"/>
          <w:b w:val="0"/>
          <w:bCs w:val="0"/>
          <w:snapToGrid/>
          <w:color w:val="auto"/>
          <w:spacing w:val="0"/>
          <w:sz w:val="32"/>
          <w:szCs w:val="32"/>
          <w:highlight w:val="none"/>
          <w:lang w:eastAsia="zh-CN" w:bidi="ar-SA"/>
        </w:rPr>
        <w:t>建立电子台</w:t>
      </w:r>
      <w:r>
        <w:rPr>
          <w:rFonts w:hint="eastAsia" w:ascii="方正仿宋_GBK" w:hAnsi="方正仿宋_GBK" w:eastAsia="方正仿宋_GBK" w:cs="方正仿宋_GBK"/>
          <w:b w:val="0"/>
          <w:bCs w:val="0"/>
          <w:snapToGrid/>
          <w:color w:val="auto"/>
          <w:spacing w:val="0"/>
          <w:sz w:val="32"/>
          <w:szCs w:val="32"/>
          <w:highlight w:val="none"/>
          <w:lang w:eastAsia="en-US" w:bidi="ar-SA"/>
        </w:rPr>
        <w:t>账</w:t>
      </w:r>
      <w:r>
        <w:rPr>
          <w:rFonts w:hint="eastAsia" w:ascii="方正仿宋_GBK" w:hAnsi="方正仿宋_GBK" w:eastAsia="方正仿宋_GBK" w:cs="方正仿宋_GBK"/>
          <w:b w:val="0"/>
          <w:bCs w:val="0"/>
          <w:snapToGrid/>
          <w:color w:val="auto"/>
          <w:spacing w:val="0"/>
          <w:sz w:val="32"/>
          <w:szCs w:val="32"/>
          <w:highlight w:val="none"/>
          <w:lang w:val="en-US" w:eastAsia="zh-CN" w:bidi="ar-SA"/>
        </w:rPr>
        <w:t>的</w:t>
      </w:r>
      <w:r>
        <w:rPr>
          <w:rFonts w:hint="eastAsia" w:ascii="方正仿宋_GBK" w:hAnsi="方正仿宋_GBK" w:eastAsia="方正仿宋_GBK" w:cs="方正仿宋_GBK"/>
          <w:b w:val="0"/>
          <w:bCs w:val="0"/>
          <w:snapToGrid/>
          <w:color w:val="auto"/>
          <w:spacing w:val="0"/>
          <w:sz w:val="32"/>
          <w:szCs w:val="32"/>
          <w:highlight w:val="none"/>
          <w:lang w:val="en-US" w:eastAsia="en-US" w:bidi="ar-SA"/>
        </w:rPr>
        <w:t>产废单位</w:t>
      </w:r>
      <w:r>
        <w:rPr>
          <w:rFonts w:hint="eastAsia" w:ascii="方正仿宋_GBK" w:hAnsi="方正仿宋_GBK" w:eastAsia="方正仿宋_GBK" w:cs="方正仿宋_GBK"/>
          <w:b w:val="0"/>
          <w:bCs w:val="0"/>
          <w:snapToGrid/>
          <w:color w:val="auto"/>
          <w:spacing w:val="0"/>
          <w:sz w:val="32"/>
          <w:szCs w:val="32"/>
          <w:highlight w:val="none"/>
          <w:lang w:eastAsia="zh-CN" w:bidi="ar-SA"/>
        </w:rPr>
        <w:t>，</w:t>
      </w:r>
      <w:r>
        <w:rPr>
          <w:rFonts w:hint="eastAsia" w:ascii="方正仿宋_GBK" w:hAnsi="方正仿宋_GBK" w:eastAsia="方正仿宋_GBK" w:cs="方正仿宋_GBK"/>
          <w:b w:val="0"/>
          <w:bCs w:val="0"/>
          <w:snapToGrid/>
          <w:color w:val="auto"/>
          <w:spacing w:val="0"/>
          <w:sz w:val="32"/>
          <w:szCs w:val="32"/>
          <w:highlight w:val="none"/>
          <w:lang w:val="en-US" w:eastAsia="zh-CN" w:bidi="ar-SA"/>
        </w:rPr>
        <w:t>可根据实际情况自行决定是否</w:t>
      </w:r>
      <w:r>
        <w:rPr>
          <w:rFonts w:hint="eastAsia" w:ascii="方正仿宋_GBK" w:hAnsi="方正仿宋_GBK" w:eastAsia="方正仿宋_GBK" w:cs="方正仿宋_GBK"/>
          <w:b w:val="0"/>
          <w:bCs w:val="0"/>
          <w:snapToGrid/>
          <w:color w:val="auto"/>
          <w:spacing w:val="0"/>
          <w:sz w:val="32"/>
          <w:szCs w:val="32"/>
          <w:highlight w:val="none"/>
          <w:lang w:eastAsia="en-US" w:bidi="ar-SA"/>
        </w:rPr>
        <w:t>再记录纸质台账。</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snapToGrid/>
          <w:color w:val="auto"/>
          <w:spacing w:val="0"/>
          <w:sz w:val="32"/>
          <w:szCs w:val="32"/>
          <w:highlight w:val="none"/>
          <w:lang w:val="en-US" w:eastAsia="zh-CN" w:bidi="ar-SA"/>
        </w:rPr>
      </w:pPr>
      <w:r>
        <w:rPr>
          <w:rFonts w:hint="eastAsia" w:ascii="方正仿宋_GBK" w:hAnsi="方正仿宋_GBK" w:eastAsia="方正仿宋_GBK" w:cs="方正仿宋_GBK"/>
          <w:b w:val="0"/>
          <w:bCs w:val="0"/>
          <w:snapToGrid/>
          <w:color w:val="auto"/>
          <w:spacing w:val="0"/>
          <w:sz w:val="32"/>
          <w:szCs w:val="32"/>
          <w:highlight w:val="none"/>
          <w:lang w:val="en-US" w:eastAsia="zh-CN" w:bidi="ar-SA"/>
        </w:rPr>
        <w:t>（2）除信息系统填报数据以外，企业还应至少具有另外一种管理台账保存方式，如</w:t>
      </w:r>
      <w:r>
        <w:rPr>
          <w:rFonts w:hint="eastAsia" w:ascii="方正仿宋_GBK" w:hAnsi="方正仿宋_GBK" w:eastAsia="方正仿宋_GBK" w:cs="方正仿宋_GBK"/>
          <w:b w:val="0"/>
          <w:bCs w:val="0"/>
          <w:snapToGrid/>
          <w:color w:val="auto"/>
          <w:spacing w:val="0"/>
          <w:sz w:val="32"/>
          <w:szCs w:val="32"/>
          <w:highlight w:val="none"/>
          <w:u w:val="none"/>
          <w:lang w:val="en-US" w:eastAsia="zh-CN" w:bidi="ar-SA"/>
        </w:rPr>
        <w:t>信息系统导出文件、表格、文档或纸质台账</w:t>
      </w:r>
      <w:r>
        <w:rPr>
          <w:rFonts w:hint="eastAsia" w:ascii="方正仿宋_GBK" w:hAnsi="方正仿宋_GBK" w:eastAsia="方正仿宋_GBK" w:cs="方正仿宋_GBK"/>
          <w:b w:val="0"/>
          <w:bCs w:val="0"/>
          <w:snapToGrid/>
          <w:color w:val="auto"/>
          <w:spacing w:val="0"/>
          <w:sz w:val="32"/>
          <w:szCs w:val="32"/>
          <w:highlight w:val="none"/>
          <w:lang w:val="en-US" w:eastAsia="zh-CN" w:bidi="ar-SA"/>
        </w:rPr>
        <w:t>，且这些方式符合保存时限要求。</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bidi="ar-SA"/>
        </w:rPr>
      </w:pPr>
      <w:r>
        <w:rPr>
          <w:rFonts w:hint="eastAsia" w:ascii="方正仿宋_GBK" w:hAnsi="方正仿宋_GBK" w:eastAsia="方正仿宋_GBK" w:cs="方正仿宋_GBK"/>
          <w:b w:val="0"/>
          <w:bCs w:val="0"/>
          <w:color w:val="auto"/>
          <w:sz w:val="32"/>
          <w:szCs w:val="32"/>
          <w:highlight w:val="none"/>
          <w:lang w:val="en-US" w:eastAsia="zh-CN" w:bidi="ar-SA"/>
        </w:rPr>
        <w:t>（四）法律依据</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val="en-US" w:eastAsia="en-US"/>
        </w:rPr>
        <w:t>《固废法》第三十六条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r>
        <w:rPr>
          <w:rFonts w:hint="eastAsia" w:ascii="方正仿宋_GBK" w:hAnsi="方正仿宋_GBK" w:eastAsia="方正仿宋_GBK" w:cs="方正仿宋_GBK"/>
          <w:b w:val="0"/>
          <w:bCs w:val="0"/>
          <w:color w:val="auto"/>
          <w:sz w:val="32"/>
          <w:szCs w:val="32"/>
          <w:highlight w:val="none"/>
          <w:lang w:val="en-US" w:eastAsia="zh-CN"/>
        </w:rPr>
        <w:t>。</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《尾矿污染环境防治管理办法》（生态环境部令2022年第26号）</w:t>
      </w:r>
      <w:r>
        <w:rPr>
          <w:rFonts w:hint="eastAsia" w:ascii="方正仿宋_GBK" w:hAnsi="方正仿宋_GBK" w:eastAsia="方正仿宋_GBK" w:cs="方正仿宋_GBK"/>
          <w:b w:val="0"/>
          <w:bCs w:val="0"/>
          <w:color w:val="auto"/>
          <w:sz w:val="32"/>
          <w:szCs w:val="32"/>
          <w:highlight w:val="none"/>
          <w:lang w:val="en-US" w:eastAsia="zh-CN"/>
        </w:rPr>
        <w:t>。</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w:t>
      </w:r>
      <w:r>
        <w:rPr>
          <w:rFonts w:hint="eastAsia" w:ascii="方正仿宋_GBK" w:hAnsi="方正仿宋_GBK" w:eastAsia="方正仿宋_GBK" w:cs="方正仿宋_GBK"/>
          <w:b w:val="0"/>
          <w:bCs w:val="0"/>
          <w:color w:val="auto"/>
          <w:sz w:val="32"/>
          <w:szCs w:val="32"/>
          <w:highlight w:val="none"/>
          <w:lang w:val="en-US" w:eastAsia="en-US"/>
        </w:rPr>
        <w:t>《一般工业固体废物管理台账制定指南（试行）》（生态环境部公告2021年第82号）</w:t>
      </w:r>
      <w:r>
        <w:rPr>
          <w:rFonts w:hint="eastAsia" w:ascii="方正仿宋_GBK" w:hAnsi="方正仿宋_GBK" w:eastAsia="方正仿宋_GBK" w:cs="方正仿宋_GBK"/>
          <w:b w:val="0"/>
          <w:bCs w:val="0"/>
          <w:color w:val="auto"/>
          <w:sz w:val="32"/>
          <w:szCs w:val="32"/>
          <w:highlight w:val="none"/>
          <w:lang w:val="en-US" w:eastAsia="zh-CN"/>
        </w:rPr>
        <w:t>。</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五、贮存管理</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bidi="ar-SA"/>
        </w:rPr>
      </w:pPr>
      <w:r>
        <w:rPr>
          <w:rFonts w:hint="eastAsia" w:ascii="方正仿宋_GBK" w:hAnsi="方正仿宋_GBK" w:eastAsia="方正仿宋_GBK" w:cs="方正仿宋_GBK"/>
          <w:b w:val="0"/>
          <w:bCs w:val="0"/>
          <w:color w:val="auto"/>
          <w:sz w:val="32"/>
          <w:szCs w:val="32"/>
          <w:highlight w:val="none"/>
          <w:lang w:val="en-US" w:eastAsia="zh-CN"/>
        </w:rPr>
        <w:t>（一）评估要</w:t>
      </w:r>
      <w:r>
        <w:rPr>
          <w:rFonts w:hint="eastAsia" w:ascii="方正仿宋_GBK" w:hAnsi="方正仿宋_GBK" w:eastAsia="方正仿宋_GBK" w:cs="方正仿宋_GBK"/>
          <w:b w:val="0"/>
          <w:bCs w:val="0"/>
          <w:color w:val="auto"/>
          <w:sz w:val="32"/>
          <w:szCs w:val="32"/>
          <w:highlight w:val="none"/>
          <w:lang w:val="en-US" w:eastAsia="zh-CN" w:bidi="ar-SA"/>
        </w:rPr>
        <w:t>点</w:t>
      </w:r>
    </w:p>
    <w:p>
      <w:pPr>
        <w:pStyle w:val="12"/>
        <w:pBdr>
          <w:top w:val="none" w:color="auto" w:sz="0" w:space="0"/>
          <w:left w:val="none" w:color="auto" w:sz="0" w:space="0"/>
          <w:bottom w:val="none" w:color="auto" w:sz="0" w:space="0"/>
          <w:right w:val="none" w:color="auto" w:sz="0" w:space="0"/>
        </w:pBdr>
        <w:shd w:val="clear"/>
        <w:adjustRightInd/>
        <w:snapToGrid w:val="0"/>
        <w:spacing w:beforeAutospacing="0" w:afterAutospacing="0"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bidi="ar-SA"/>
          <w14:ligatures w14:val="standardContextual"/>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（1）</w:t>
      </w:r>
      <w:r>
        <w:rPr>
          <w:rFonts w:hint="eastAsia" w:ascii="方正仿宋_GBK" w:hAnsi="方正仿宋_GBK" w:eastAsia="方正仿宋_GBK" w:cs="方正仿宋_GBK"/>
          <w:b w:val="0"/>
          <w:bCs w:val="0"/>
          <w:color w:val="auto"/>
          <w:sz w:val="32"/>
          <w:szCs w:val="32"/>
          <w:highlight w:val="none"/>
          <w:lang w:val="en-US" w:eastAsia="zh-CN" w:bidi="ar-SA"/>
          <w14:ligatures w14:val="standardContextual"/>
        </w:rPr>
        <w:t>建设</w:t>
      </w:r>
      <w:r>
        <w:rPr>
          <w:rFonts w:hint="eastAsia" w:ascii="方正仿宋_GBK" w:hAnsi="方正仿宋_GBK" w:eastAsia="方正仿宋_GBK" w:cs="方正仿宋_GBK"/>
          <w:b w:val="0"/>
          <w:bCs w:val="0"/>
          <w:color w:val="auto"/>
          <w:sz w:val="32"/>
          <w:szCs w:val="32"/>
          <w:highlight w:val="none"/>
          <w:lang w:bidi="ar-SA"/>
          <w14:ligatures w14:val="standardContextual"/>
        </w:rPr>
        <w:t>一般工业固体废物贮存</w:t>
      </w:r>
      <w:r>
        <w:rPr>
          <w:rFonts w:hint="eastAsia" w:ascii="方正仿宋_GBK" w:hAnsi="方正仿宋_GBK" w:eastAsia="方正仿宋_GBK" w:cs="方正仿宋_GBK"/>
          <w:b w:val="0"/>
          <w:bCs w:val="0"/>
          <w:color w:val="auto"/>
          <w:sz w:val="32"/>
          <w:szCs w:val="32"/>
          <w:highlight w:val="none"/>
          <w:lang w:val="en-US" w:eastAsia="zh-CN" w:bidi="ar-SA"/>
          <w14:ligatures w14:val="standardContextual"/>
        </w:rPr>
        <w:t>场和填埋场的</w:t>
      </w:r>
      <w:r>
        <w:rPr>
          <w:rFonts w:hint="eastAsia" w:ascii="方正仿宋_GBK" w:hAnsi="方正仿宋_GBK" w:eastAsia="方正仿宋_GBK" w:cs="方正仿宋_GBK"/>
          <w:b w:val="0"/>
          <w:bCs w:val="0"/>
          <w:color w:val="auto"/>
          <w:sz w:val="32"/>
          <w:szCs w:val="32"/>
          <w:highlight w:val="none"/>
          <w:lang w:bidi="ar-SA"/>
          <w14:ligatures w14:val="standardContextual"/>
        </w:rPr>
        <w:t>单位</w:t>
      </w:r>
      <w:r>
        <w:rPr>
          <w:rFonts w:hint="eastAsia" w:ascii="方正仿宋_GBK" w:hAnsi="方正仿宋_GBK" w:eastAsia="方正仿宋_GBK" w:cs="方正仿宋_GBK"/>
          <w:b w:val="0"/>
          <w:bCs w:val="0"/>
          <w:color w:val="auto"/>
          <w:sz w:val="32"/>
          <w:szCs w:val="32"/>
          <w:highlight w:val="none"/>
          <w:lang w:eastAsia="zh-CN" w:bidi="ar-SA"/>
          <w14:ligatures w14:val="standardContextual"/>
        </w:rPr>
        <w:t>，</w:t>
      </w:r>
      <w:r>
        <w:rPr>
          <w:rFonts w:hint="eastAsia" w:ascii="方正仿宋_GBK" w:hAnsi="方正仿宋_GBK" w:eastAsia="方正仿宋_GBK" w:cs="方正仿宋_GBK"/>
          <w:b w:val="0"/>
          <w:bCs w:val="0"/>
          <w:color w:val="auto"/>
          <w:sz w:val="32"/>
          <w:szCs w:val="32"/>
          <w:highlight w:val="none"/>
          <w:lang w:bidi="ar-SA"/>
          <w14:ligatures w14:val="standardContextual"/>
        </w:rPr>
        <w:t>应当执行GB</w:t>
      </w:r>
      <w:r>
        <w:rPr>
          <w:rFonts w:hint="eastAsia" w:ascii="方正仿宋_GBK" w:hAnsi="方正仿宋_GBK" w:eastAsia="方正仿宋_GBK" w:cs="方正仿宋_GBK"/>
          <w:b w:val="0"/>
          <w:bCs w:val="0"/>
          <w:color w:val="auto"/>
          <w:sz w:val="32"/>
          <w:szCs w:val="32"/>
          <w:highlight w:val="none"/>
          <w:lang w:val="en-US" w:eastAsia="zh-CN" w:bidi="ar-SA"/>
          <w14:ligatures w14:val="standardContextual"/>
        </w:rPr>
        <w:t xml:space="preserve"> </w:t>
      </w:r>
      <w:r>
        <w:rPr>
          <w:rFonts w:hint="eastAsia" w:ascii="方正仿宋_GBK" w:hAnsi="方正仿宋_GBK" w:eastAsia="方正仿宋_GBK" w:cs="方正仿宋_GBK"/>
          <w:b w:val="0"/>
          <w:bCs w:val="0"/>
          <w:color w:val="auto"/>
          <w:sz w:val="32"/>
          <w:szCs w:val="32"/>
          <w:highlight w:val="none"/>
          <w:lang w:bidi="ar-SA"/>
          <w14:ligatures w14:val="standardContextual"/>
        </w:rPr>
        <w:t>18599等有关标准规范要求。</w:t>
      </w:r>
    </w:p>
    <w:p>
      <w:pPr>
        <w:pStyle w:val="12"/>
        <w:pBdr>
          <w:top w:val="none" w:color="auto" w:sz="0" w:space="0"/>
          <w:left w:val="none" w:color="auto" w:sz="0" w:space="0"/>
          <w:bottom w:val="none" w:color="auto" w:sz="0" w:space="0"/>
          <w:right w:val="none" w:color="auto" w:sz="0" w:space="0"/>
        </w:pBdr>
        <w:shd w:val="clear"/>
        <w:adjustRightInd/>
        <w:snapToGrid w:val="0"/>
        <w:spacing w:beforeAutospacing="0" w:afterAutospacing="0"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bidi="ar-SA"/>
          <w14:ligatures w14:val="standardContextual"/>
        </w:rPr>
      </w:pPr>
      <w:r>
        <w:rPr>
          <w:rFonts w:hint="eastAsia" w:ascii="方正仿宋_GBK" w:hAnsi="方正仿宋_GBK" w:eastAsia="方正仿宋_GBK" w:cs="方正仿宋_GBK"/>
          <w:b w:val="0"/>
          <w:bCs w:val="0"/>
          <w:color w:val="auto"/>
          <w:sz w:val="32"/>
          <w:szCs w:val="32"/>
          <w:highlight w:val="none"/>
          <w:lang w:val="en-US" w:eastAsia="zh-CN" w:bidi="ar-SA"/>
          <w14:ligatures w14:val="standardContextual"/>
        </w:rPr>
        <w:t>（2）</w:t>
      </w:r>
      <w:r>
        <w:rPr>
          <w:rFonts w:hint="eastAsia" w:ascii="方正仿宋_GBK" w:hAnsi="方正仿宋_GBK" w:eastAsia="方正仿宋_GBK" w:cs="方正仿宋_GBK"/>
          <w:b w:val="0"/>
          <w:bCs w:val="0"/>
          <w:color w:val="auto"/>
          <w:sz w:val="32"/>
          <w:szCs w:val="32"/>
          <w:highlight w:val="none"/>
          <w:lang w:bidi="ar-SA"/>
          <w14:ligatures w14:val="standardContextual"/>
        </w:rPr>
        <w:t>采用库房、包装工具（罐、桶、包装袋等）贮存一般工业固体废物，其贮存过程应当设置一般工业固体废物贮存库，满足防扬散、防流失、防渗漏、防雨淋等环境保护要求，不应露天堆放一般工业固体废物。</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（3）</w:t>
      </w:r>
      <w:r>
        <w:rPr>
          <w:rFonts w:hint="eastAsia" w:ascii="方正仿宋_GBK" w:hAnsi="方正仿宋_GBK" w:eastAsia="方正仿宋_GBK" w:cs="方正仿宋_GBK"/>
          <w:b w:val="0"/>
          <w:bCs w:val="0"/>
          <w:color w:val="auto"/>
          <w:sz w:val="32"/>
          <w:szCs w:val="32"/>
          <w:highlight w:val="none"/>
          <w:lang w:bidi="ar-SA"/>
        </w:rPr>
        <w:t>应在贮存设施显著位置张贴符合《环境保护图形标志-固体废物贮存（处置）场》（GB15562.2）规定的环境保护图形标志，并注明相应固废类别。</w:t>
      </w:r>
    </w:p>
    <w:p>
      <w:pPr>
        <w:pStyle w:val="12"/>
        <w:pBdr>
          <w:top w:val="none" w:color="auto" w:sz="0" w:space="0"/>
          <w:left w:val="none" w:color="auto" w:sz="0" w:space="0"/>
          <w:bottom w:val="none" w:color="auto" w:sz="0" w:space="0"/>
          <w:right w:val="none" w:color="auto" w:sz="0" w:space="0"/>
        </w:pBdr>
        <w:shd w:val="clear"/>
        <w:snapToGrid w:val="0"/>
        <w:spacing w:beforeAutospacing="0" w:afterAutospacing="0"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bidi="ar-SA"/>
          <w14:ligatures w14:val="standardContextual"/>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（4）</w:t>
      </w:r>
      <w:r>
        <w:rPr>
          <w:rFonts w:hint="eastAsia" w:ascii="方正仿宋_GBK" w:hAnsi="方正仿宋_GBK" w:eastAsia="方正仿宋_GBK" w:cs="方正仿宋_GBK"/>
          <w:b w:val="0"/>
          <w:bCs w:val="0"/>
          <w:color w:val="auto"/>
          <w:sz w:val="32"/>
          <w:szCs w:val="32"/>
          <w:highlight w:val="none"/>
          <w:lang w:bidi="ar-SA"/>
          <w14:ligatures w14:val="standardContextual"/>
        </w:rPr>
        <w:t>对照《固体废物分类与代码目录》，将一般工业固体废物分类分区贮存。一般工业固体废物不得混入生活垃圾和危险废物，不得向生活垃圾收集设施中投放工业固体废物。</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（5）</w:t>
      </w:r>
      <w:r>
        <w:rPr>
          <w:rFonts w:hint="eastAsia" w:ascii="方正仿宋_GBK" w:hAnsi="方正仿宋_GBK" w:eastAsia="方正仿宋_GBK" w:cs="方正仿宋_GBK"/>
          <w:b w:val="0"/>
          <w:bCs w:val="0"/>
          <w:color w:val="auto"/>
          <w:sz w:val="32"/>
          <w:szCs w:val="32"/>
          <w:highlight w:val="none"/>
          <w:lang w:bidi="ar-SA"/>
        </w:rPr>
        <w:t>尾矿库应按照《尾矿库污染隐患排查治理工作指南（试行）》有关规定，建立尾矿库污染隐患排查治理制度，在每年汛期前至少开展一次全面排查治理。</w:t>
      </w:r>
    </w:p>
    <w:p>
      <w:pPr>
        <w:keepNext w:val="0"/>
        <w:keepLines w:val="0"/>
        <w:pageBreakBefore w:val="0"/>
        <w:widowControl w:val="0"/>
        <w:suppressLineNumbers w:val="0"/>
        <w:pBdr>
          <w:top w:val="none" w:color="auto" w:sz="0" w:space="0"/>
          <w:left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600" w:lineRule="atLeast"/>
        <w:ind w:right="0"/>
        <w:jc w:val="center"/>
        <w:textAlignment w:val="auto"/>
        <w:rPr>
          <w:rFonts w:ascii="Times New Roman" w:hAnsi="Times New Roman" w:eastAsia="方正仿宋_GBK" w:cs="Times New Roman"/>
          <w:b w:val="0"/>
          <w:bCs w:val="0"/>
          <w:color w:val="auto"/>
          <w:sz w:val="28"/>
          <w:szCs w:val="28"/>
          <w:highlight w:val="none"/>
        </w:rPr>
      </w:pPr>
      <w:r>
        <w:rPr>
          <w:rFonts w:ascii="Times New Roman" w:hAnsi="Times New Roman" w:eastAsia="方正仿宋_GBK" w:cs="Times New Roman"/>
          <w:b w:val="0"/>
          <w:bCs w:val="0"/>
          <w:color w:val="auto"/>
          <w:sz w:val="28"/>
          <w:szCs w:val="28"/>
          <w:highlight w:val="none"/>
        </w:rPr>
        <w:br w:type="page"/>
      </w:r>
    </w:p>
    <w:tbl>
      <w:tblPr>
        <w:tblStyle w:val="18"/>
        <w:tblW w:w="91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2"/>
        <w:gridCol w:w="3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116" w:type="dxa"/>
            <w:gridSpan w:val="2"/>
          </w:tcPr>
          <w:p>
            <w:pPr>
              <w:adjustRightInd/>
              <w:snapToGrid w:val="0"/>
              <w:jc w:val="center"/>
              <w:rPr>
                <w:rFonts w:ascii="Times New Roman" w:hAnsi="Times New Roman" w:eastAsia="仿宋" w:cs="Times New Roman"/>
                <w:b w:val="0"/>
                <w:bCs w:val="0"/>
                <w:color w:val="auto"/>
                <w:highlight w:val="none"/>
                <w14:ligatures w14:val="none"/>
              </w:rPr>
            </w:pPr>
            <w:r>
              <w:rPr>
                <w:rFonts w:ascii="Times New Roman" w:hAnsi="Times New Roman" w:eastAsia="方正仿宋_GBK" w:cs="Times New Roman"/>
                <w:b w:val="0"/>
                <w:bCs w:val="0"/>
                <w:color w:val="auto"/>
                <w:sz w:val="28"/>
                <w:szCs w:val="28"/>
                <w:highlight w:val="none"/>
              </w:rPr>
              <w:t>一般工业固体废物贮存场环境保护图形标志样式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242" w:type="dxa"/>
          </w:tcPr>
          <w:p>
            <w:pPr>
              <w:adjustRightInd/>
              <w:snapToGrid w:val="0"/>
              <w:jc w:val="center"/>
              <w:rPr>
                <w:rFonts w:hint="eastAsia" w:ascii="Times New Roman" w:hAnsi="Times New Roman" w:eastAsia="仿宋" w:cs="Times New Roman"/>
                <w:b w:val="0"/>
                <w:bCs w:val="0"/>
                <w:color w:val="auto"/>
                <w:sz w:val="32"/>
                <w:szCs w:val="32"/>
                <w:highlight w:val="none"/>
                <w:lang w:eastAsia="zh-CN"/>
              </w:rPr>
            </w:pPr>
            <w:r>
              <w:rPr>
                <w:rFonts w:ascii="Times New Roman" w:hAnsi="Times New Roman" w:eastAsia="仿宋" w:cs="Times New Roman"/>
                <w:b w:val="0"/>
                <w:bCs w:val="0"/>
                <w:color w:val="auto"/>
                <w:highlight w:val="none"/>
              </w:rPr>
              <w:drawing>
                <wp:inline distT="0" distB="0" distL="0" distR="0">
                  <wp:extent cx="3180080" cy="2171065"/>
                  <wp:effectExtent l="12700" t="12700" r="26670" b="26035"/>
                  <wp:docPr id="2079234588" name="图片 1" descr="绿色的标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34588" name="图片 1" descr="绿色的标志&#10;&#10;描述已自动生成"/>
                          <pic:cNvPicPr>
                            <a:picLocks noChangeAspect="1" noChangeArrowheads="1"/>
                          </pic:cNvPicPr>
                        </pic:nvPicPr>
                        <pic:blipFill>
                          <a:blip r:embed="rId11"/>
                          <a:srcRect l="4534" t="18452" r="3850" b="21667"/>
                          <a:stretch>
                            <a:fillRect/>
                          </a:stretch>
                        </pic:blipFill>
                        <pic:spPr>
                          <a:xfrm>
                            <a:off x="0" y="0"/>
                            <a:ext cx="3180080" cy="2171065"/>
                          </a:xfrm>
                          <a:prstGeom prst="rect">
                            <a:avLst/>
                          </a:prstGeom>
                          <a:noFill/>
                          <a:ln w="12700" cmpd="sng">
                            <a:solidFill>
                              <a:schemeClr val="tx1"/>
                            </a:solidFill>
                            <a:prstDash val="solid"/>
                          </a:ln>
                        </pic:spPr>
                      </pic:pic>
                    </a:graphicData>
                  </a:graphic>
                </wp:inline>
              </w:drawing>
            </w:r>
          </w:p>
        </w:tc>
        <w:tc>
          <w:tcPr>
            <w:tcW w:w="3874" w:type="dxa"/>
          </w:tcPr>
          <w:p>
            <w:pPr>
              <w:adjustRightInd/>
              <w:snapToGrid w:val="0"/>
              <w:jc w:val="center"/>
              <w:rPr>
                <w:rFonts w:ascii="Times New Roman" w:hAnsi="Times New Roman" w:eastAsia="仿宋" w:cs="Times New Roman"/>
                <w:b w:val="0"/>
                <w:bCs w:val="0"/>
                <w:color w:val="auto"/>
                <w:sz w:val="32"/>
                <w:szCs w:val="32"/>
                <w:highlight w:val="none"/>
              </w:rPr>
            </w:pPr>
            <w:r>
              <w:rPr>
                <w:rFonts w:ascii="Times New Roman" w:hAnsi="Times New Roman" w:eastAsia="仿宋" w:cs="Times New Roman"/>
                <w:b w:val="0"/>
                <w:bCs w:val="0"/>
                <w:color w:val="auto"/>
                <w:highlight w:val="none"/>
                <w14:ligatures w14:val="none"/>
              </w:rPr>
              <w:drawing>
                <wp:inline distT="0" distB="0" distL="0" distR="0">
                  <wp:extent cx="2312670" cy="2169795"/>
                  <wp:effectExtent l="12700" t="12700" r="17780" b="27305"/>
                  <wp:docPr id="161355022" name="图片 1" descr="黑白色的标志&#10;&#10;描述已自动生成"/>
                  <wp:cNvGraphicFramePr/>
                  <a:graphic xmlns:a="http://schemas.openxmlformats.org/drawingml/2006/main">
                    <a:graphicData uri="http://schemas.openxmlformats.org/drawingml/2006/picture">
                      <pic:pic xmlns:pic="http://schemas.openxmlformats.org/drawingml/2006/picture">
                        <pic:nvPicPr>
                          <pic:cNvPr id="161355022" name="图片 1" descr="黑白色的标志&#10;&#10;描述已自动生成"/>
                          <pic:cNvPicPr/>
                        </pic:nvPicPr>
                        <pic:blipFill>
                          <a:blip r:embed="rId12"/>
                          <a:stretch>
                            <a:fillRect/>
                          </a:stretch>
                        </pic:blipFill>
                        <pic:spPr>
                          <a:xfrm>
                            <a:off x="0" y="0"/>
                            <a:ext cx="2345477" cy="2200470"/>
                          </a:xfrm>
                          <a:prstGeom prst="rect">
                            <a:avLst/>
                          </a:prstGeom>
                          <a:noFill/>
                          <a:ln w="12700">
                            <a:solidFill>
                              <a:schemeClr val="tx1"/>
                            </a:solid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242" w:type="dxa"/>
            <w:vAlign w:val="center"/>
          </w:tcPr>
          <w:p>
            <w:pPr>
              <w:adjustRightInd/>
              <w:snapToGrid w:val="0"/>
              <w:jc w:val="center"/>
              <w:rPr>
                <w:rFonts w:ascii="Times New Roman" w:hAnsi="Times New Roman" w:eastAsia="仿宋" w:cs="Times New Roman"/>
                <w:b w:val="0"/>
                <w:bCs w:val="0"/>
                <w:color w:val="auto"/>
                <w:sz w:val="24"/>
                <w:szCs w:val="24"/>
                <w:highlight w:val="none"/>
              </w:rPr>
            </w:pPr>
            <w:r>
              <w:rPr>
                <w:rFonts w:ascii="Times New Roman" w:hAnsi="Times New Roman" w:eastAsia="仿宋" w:cs="Times New Roman"/>
                <w:b w:val="0"/>
                <w:bCs w:val="0"/>
                <w:color w:val="auto"/>
                <w:sz w:val="24"/>
                <w:szCs w:val="24"/>
                <w:highlight w:val="none"/>
              </w:rPr>
              <w:t>提示图形符号</w:t>
            </w:r>
          </w:p>
        </w:tc>
        <w:tc>
          <w:tcPr>
            <w:tcW w:w="3874" w:type="dxa"/>
            <w:vAlign w:val="center"/>
          </w:tcPr>
          <w:p>
            <w:pPr>
              <w:adjustRightInd/>
              <w:snapToGrid w:val="0"/>
              <w:jc w:val="center"/>
              <w:rPr>
                <w:rFonts w:ascii="Times New Roman" w:hAnsi="Times New Roman" w:eastAsia="仿宋" w:cs="Times New Roman"/>
                <w:b w:val="0"/>
                <w:bCs w:val="0"/>
                <w:color w:val="auto"/>
                <w:sz w:val="24"/>
                <w:szCs w:val="24"/>
                <w:highlight w:val="none"/>
              </w:rPr>
            </w:pPr>
            <w:r>
              <w:rPr>
                <w:rFonts w:ascii="Times New Roman" w:hAnsi="Times New Roman" w:eastAsia="仿宋" w:cs="Times New Roman"/>
                <w:b w:val="0"/>
                <w:bCs w:val="0"/>
                <w:color w:val="auto"/>
                <w:sz w:val="24"/>
                <w:szCs w:val="24"/>
                <w:highlight w:val="none"/>
              </w:rPr>
              <w:t>警告图形符号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116" w:type="dxa"/>
            <w:gridSpan w:val="2"/>
            <w:vAlign w:val="center"/>
          </w:tcPr>
          <w:p>
            <w:pPr>
              <w:adjustRightInd/>
              <w:snapToGrid w:val="0"/>
              <w:spacing w:line="240" w:lineRule="auto"/>
              <w:jc w:val="both"/>
              <w:rPr>
                <w:rFonts w:hint="eastAsia" w:ascii="Times New Roman" w:hAnsi="Times New Roman" w:eastAsia="仿宋" w:cs="Times New Roman"/>
                <w:b w:val="0"/>
                <w:bCs w:val="0"/>
                <w:color w:val="auto"/>
                <w:sz w:val="24"/>
                <w:szCs w:val="24"/>
                <w:highlight w:val="none"/>
                <w:lang w:val="en-US" w:eastAsia="en-US"/>
              </w:rPr>
            </w:pPr>
            <w:r>
              <w:rPr>
                <w:rFonts w:hint="eastAsia" w:ascii="Times New Roman" w:hAnsi="Times New Roman" w:eastAsia="仿宋" w:cs="Times New Roman"/>
                <w:b w:val="0"/>
                <w:bCs w:val="0"/>
                <w:color w:val="auto"/>
                <w:sz w:val="24"/>
                <w:szCs w:val="24"/>
                <w:highlight w:val="none"/>
                <w:lang w:val="en-US" w:eastAsia="en-US"/>
              </w:rPr>
              <w:t>说明：</w:t>
            </w:r>
          </w:p>
          <w:p>
            <w:pPr>
              <w:adjustRightInd/>
              <w:snapToGrid w:val="0"/>
              <w:spacing w:line="240" w:lineRule="auto"/>
              <w:jc w:val="both"/>
              <w:rPr>
                <w:rFonts w:hint="eastAsia" w:ascii="Times New Roman" w:hAnsi="Times New Roman" w:eastAsia="仿宋" w:cs="Times New Roman"/>
                <w:b w:val="0"/>
                <w:bCs w:val="0"/>
                <w:color w:val="auto"/>
                <w:sz w:val="24"/>
                <w:szCs w:val="24"/>
                <w:highlight w:val="none"/>
                <w:lang w:val="en-US" w:eastAsia="zh-CN"/>
              </w:rPr>
            </w:pPr>
            <w:r>
              <w:rPr>
                <w:rFonts w:hint="eastAsia" w:ascii="Times New Roman" w:hAnsi="Times New Roman" w:eastAsia="仿宋" w:cs="Times New Roman"/>
                <w:b w:val="0"/>
                <w:bCs w:val="0"/>
                <w:color w:val="auto"/>
                <w:sz w:val="24"/>
                <w:szCs w:val="24"/>
                <w:highlight w:val="none"/>
                <w:lang w:val="en-US" w:eastAsia="en-US"/>
              </w:rPr>
              <w:t>1.一般工业固体废物贮存场标志牌尺寸颜色</w:t>
            </w:r>
          </w:p>
          <w:p>
            <w:pPr>
              <w:keepNext w:val="0"/>
              <w:keepLines w:val="0"/>
              <w:pageBreakBefore w:val="0"/>
              <w:widowControl w:val="0"/>
              <w:kinsoku/>
              <w:wordWrap/>
              <w:overflowPunct/>
              <w:topLinePunct w:val="0"/>
              <w:autoSpaceDE/>
              <w:autoSpaceDN/>
              <w:bidi w:val="0"/>
              <w:adjustRightInd/>
              <w:snapToGrid w:val="0"/>
              <w:spacing w:line="240" w:lineRule="auto"/>
              <w:ind w:left="450" w:leftChars="100" w:hanging="240" w:hangingChars="100"/>
              <w:jc w:val="both"/>
              <w:textAlignment w:val="auto"/>
              <w:rPr>
                <w:rFonts w:hint="eastAsia" w:ascii="Times New Roman" w:hAnsi="Times New Roman" w:eastAsia="仿宋" w:cs="Times New Roman"/>
                <w:b w:val="0"/>
                <w:bCs w:val="0"/>
                <w:color w:val="auto"/>
                <w:sz w:val="24"/>
                <w:szCs w:val="24"/>
                <w:highlight w:val="none"/>
                <w:lang w:val="en-US" w:eastAsia="en-US"/>
              </w:rPr>
            </w:pPr>
            <w:r>
              <w:rPr>
                <w:rFonts w:hint="eastAsia" w:ascii="Times New Roman" w:hAnsi="Times New Roman" w:eastAsia="仿宋" w:cs="Times New Roman"/>
                <w:b w:val="0"/>
                <w:bCs w:val="0"/>
                <w:color w:val="auto"/>
                <w:sz w:val="24"/>
                <w:szCs w:val="24"/>
                <w:highlight w:val="none"/>
                <w:lang w:val="en-US" w:eastAsia="en-US"/>
              </w:rPr>
              <w:t>提示图形符号背景颜色：绿色；图形颜色：白色；</w:t>
            </w:r>
          </w:p>
          <w:p>
            <w:pPr>
              <w:keepNext w:val="0"/>
              <w:keepLines w:val="0"/>
              <w:pageBreakBefore w:val="0"/>
              <w:widowControl w:val="0"/>
              <w:kinsoku/>
              <w:wordWrap/>
              <w:overflowPunct/>
              <w:topLinePunct w:val="0"/>
              <w:autoSpaceDE/>
              <w:autoSpaceDN/>
              <w:bidi w:val="0"/>
              <w:adjustRightInd/>
              <w:snapToGrid w:val="0"/>
              <w:spacing w:line="240" w:lineRule="auto"/>
              <w:ind w:left="450" w:leftChars="100" w:hanging="240" w:hangingChars="100"/>
              <w:jc w:val="both"/>
              <w:textAlignment w:val="auto"/>
              <w:rPr>
                <w:rFonts w:hint="eastAsia" w:ascii="Times New Roman" w:hAnsi="Times New Roman" w:eastAsia="仿宋" w:cs="Times New Roman"/>
                <w:b w:val="0"/>
                <w:bCs w:val="0"/>
                <w:color w:val="auto"/>
                <w:sz w:val="24"/>
                <w:szCs w:val="24"/>
                <w:highlight w:val="none"/>
                <w:lang w:val="en-US" w:eastAsia="zh-CN"/>
              </w:rPr>
            </w:pPr>
            <w:r>
              <w:rPr>
                <w:rFonts w:hint="eastAsia" w:ascii="Times New Roman" w:hAnsi="Times New Roman" w:eastAsia="仿宋" w:cs="Times New Roman"/>
                <w:b w:val="0"/>
                <w:bCs w:val="0"/>
                <w:color w:val="auto"/>
                <w:sz w:val="24"/>
                <w:szCs w:val="24"/>
                <w:highlight w:val="none"/>
                <w:lang w:val="en-US" w:eastAsia="en-US"/>
              </w:rPr>
              <w:t>警告图形符号背景颜色：黄色；图形颜色：黑色</w:t>
            </w:r>
            <w:r>
              <w:rPr>
                <w:rFonts w:hint="eastAsia" w:ascii="Times New Roman" w:hAnsi="Times New Roman" w:eastAsia="仿宋" w:cs="Times New Roman"/>
                <w:b w:val="0"/>
                <w:bCs w:val="0"/>
                <w:color w:val="auto"/>
                <w:sz w:val="24"/>
                <w:szCs w:val="24"/>
                <w:highlight w:val="none"/>
                <w:lang w:val="en-US" w:eastAsia="zh-CN"/>
              </w:rPr>
              <w:t>；</w:t>
            </w:r>
          </w:p>
          <w:p>
            <w:pPr>
              <w:adjustRightInd/>
              <w:snapToGrid w:val="0"/>
              <w:spacing w:line="240" w:lineRule="auto"/>
              <w:jc w:val="both"/>
              <w:rPr>
                <w:rFonts w:hint="eastAsia" w:ascii="Times New Roman" w:hAnsi="Times New Roman" w:eastAsia="仿宋" w:cs="Times New Roman"/>
                <w:b w:val="0"/>
                <w:bCs w:val="0"/>
                <w:color w:val="auto"/>
                <w:sz w:val="24"/>
                <w:szCs w:val="24"/>
                <w:highlight w:val="none"/>
                <w:lang w:val="en-US" w:eastAsia="zh-CN"/>
              </w:rPr>
            </w:pPr>
            <w:r>
              <w:rPr>
                <w:rFonts w:hint="eastAsia" w:ascii="Times New Roman" w:hAnsi="Times New Roman" w:eastAsia="仿宋" w:cs="Times New Roman"/>
                <w:b w:val="0"/>
                <w:bCs w:val="0"/>
                <w:color w:val="auto"/>
                <w:sz w:val="24"/>
                <w:szCs w:val="24"/>
                <w:highlight w:val="none"/>
                <w:lang w:val="en-US" w:eastAsia="en-US"/>
              </w:rPr>
              <w:t>2.贮存场编号：建议按照</w:t>
            </w:r>
            <w:r>
              <w:rPr>
                <w:rFonts w:hint="eastAsia" w:ascii="Times New Roman" w:hAnsi="Times New Roman" w:eastAsia="仿宋" w:cs="Times New Roman"/>
                <w:b w:val="0"/>
                <w:bCs w:val="0"/>
                <w:color w:val="auto"/>
                <w:sz w:val="24"/>
                <w:szCs w:val="24"/>
                <w:highlight w:val="none"/>
                <w:lang w:val="en-US" w:eastAsia="zh-CN"/>
              </w:rPr>
              <w:t>TS</w:t>
            </w:r>
            <w:r>
              <w:rPr>
                <w:rFonts w:hint="eastAsia" w:ascii="Times New Roman" w:hAnsi="Times New Roman" w:eastAsia="仿宋" w:cs="Times New Roman"/>
                <w:b w:val="0"/>
                <w:bCs w:val="0"/>
                <w:color w:val="auto"/>
                <w:sz w:val="24"/>
                <w:szCs w:val="24"/>
                <w:highlight w:val="none"/>
                <w:lang w:val="en-US" w:eastAsia="en-US"/>
              </w:rPr>
              <w:t>-0</w:t>
            </w:r>
            <w:r>
              <w:rPr>
                <w:rFonts w:hint="eastAsia" w:ascii="Times New Roman" w:hAnsi="Times New Roman" w:eastAsia="仿宋" w:cs="Times New Roman"/>
                <w:b w:val="0"/>
                <w:bCs w:val="0"/>
                <w:color w:val="auto"/>
                <w:sz w:val="24"/>
                <w:szCs w:val="24"/>
                <w:highlight w:val="none"/>
                <w:lang w:val="en-US" w:eastAsia="zh-CN"/>
              </w:rPr>
              <w:t>0</w:t>
            </w:r>
            <w:r>
              <w:rPr>
                <w:rFonts w:hint="eastAsia" w:ascii="Times New Roman" w:hAnsi="Times New Roman" w:eastAsia="仿宋" w:cs="Times New Roman"/>
                <w:b w:val="0"/>
                <w:bCs w:val="0"/>
                <w:color w:val="auto"/>
                <w:sz w:val="24"/>
                <w:szCs w:val="24"/>
                <w:highlight w:val="none"/>
                <w:lang w:val="en-US" w:eastAsia="en-US"/>
              </w:rPr>
              <w:t>1、02顺序编号</w:t>
            </w:r>
            <w:r>
              <w:rPr>
                <w:rFonts w:hint="eastAsia" w:ascii="Times New Roman" w:hAnsi="Times New Roman" w:eastAsia="仿宋" w:cs="Times New Roman"/>
                <w:b w:val="0"/>
                <w:bCs w:val="0"/>
                <w:color w:val="auto"/>
                <w:sz w:val="24"/>
                <w:szCs w:val="24"/>
                <w:highlight w:val="none"/>
                <w:lang w:val="en-US" w:eastAsia="zh-CN"/>
              </w:rPr>
              <w:t>，与排污许可证保持一致；</w:t>
            </w:r>
          </w:p>
          <w:p>
            <w:pPr>
              <w:adjustRightInd/>
              <w:snapToGrid w:val="0"/>
              <w:spacing w:line="240" w:lineRule="auto"/>
              <w:jc w:val="both"/>
              <w:rPr>
                <w:rFonts w:hint="eastAsia" w:ascii="Times New Roman" w:hAnsi="Times New Roman" w:eastAsia="仿宋" w:cs="Times New Roman"/>
                <w:b w:val="0"/>
                <w:bCs w:val="0"/>
                <w:color w:val="auto"/>
                <w:sz w:val="24"/>
                <w:szCs w:val="24"/>
                <w:highlight w:val="none"/>
                <w:lang w:val="en-US" w:eastAsia="zh-CN"/>
              </w:rPr>
            </w:pPr>
            <w:r>
              <w:rPr>
                <w:rFonts w:hint="eastAsia" w:ascii="Times New Roman" w:hAnsi="Times New Roman" w:eastAsia="仿宋" w:cs="Times New Roman"/>
                <w:b w:val="0"/>
                <w:bCs w:val="0"/>
                <w:color w:val="auto"/>
                <w:sz w:val="24"/>
                <w:szCs w:val="24"/>
                <w:highlight w:val="none"/>
                <w:lang w:val="en-US" w:eastAsia="en-US"/>
              </w:rPr>
              <w:t>3.标志牌材料：建议采用1.5</w:t>
            </w:r>
            <w:r>
              <w:rPr>
                <w:rFonts w:hint="default" w:ascii="Times New Roman" w:hAnsi="Times New Roman" w:eastAsia="宋体" w:cs="Times New Roman"/>
                <w:b w:val="0"/>
                <w:bCs w:val="0"/>
                <w:color w:val="auto"/>
                <w:sz w:val="24"/>
                <w:szCs w:val="24"/>
                <w:highlight w:val="none"/>
                <w:lang w:val="en-US" w:eastAsia="en-US"/>
              </w:rPr>
              <w:t>－</w:t>
            </w:r>
            <w:r>
              <w:rPr>
                <w:rFonts w:hint="eastAsia" w:ascii="Times New Roman" w:hAnsi="Times New Roman" w:eastAsia="仿宋" w:cs="Times New Roman"/>
                <w:b w:val="0"/>
                <w:bCs w:val="0"/>
                <w:color w:val="auto"/>
                <w:sz w:val="24"/>
                <w:szCs w:val="24"/>
                <w:highlight w:val="none"/>
                <w:lang w:val="en-US" w:eastAsia="en-US"/>
              </w:rPr>
              <w:t>2</w:t>
            </w:r>
            <w:r>
              <w:rPr>
                <w:rFonts w:hint="eastAsia" w:ascii="Times New Roman" w:hAnsi="Times New Roman" w:eastAsia="仿宋" w:cs="Times New Roman"/>
                <w:b w:val="0"/>
                <w:bCs w:val="0"/>
                <w:color w:val="auto"/>
                <w:sz w:val="24"/>
                <w:szCs w:val="24"/>
                <w:highlight w:val="none"/>
                <w:lang w:val="en-US" w:eastAsia="zh-CN"/>
              </w:rPr>
              <w:t xml:space="preserve"> </w:t>
            </w:r>
            <w:r>
              <w:rPr>
                <w:rFonts w:hint="eastAsia" w:ascii="Times New Roman" w:hAnsi="Times New Roman" w:eastAsia="仿宋" w:cs="Times New Roman"/>
                <w:b w:val="0"/>
                <w:bCs w:val="0"/>
                <w:color w:val="auto"/>
                <w:sz w:val="24"/>
                <w:szCs w:val="24"/>
                <w:highlight w:val="none"/>
                <w:lang w:val="en-US" w:eastAsia="en-US"/>
              </w:rPr>
              <w:t>mm冷轧钢板、表面采用搪瓷或反光贴膜</w:t>
            </w:r>
            <w:r>
              <w:rPr>
                <w:rFonts w:hint="eastAsia" w:ascii="Times New Roman" w:hAnsi="Times New Roman" w:eastAsia="仿宋" w:cs="Times New Roman"/>
                <w:b w:val="0"/>
                <w:bCs w:val="0"/>
                <w:color w:val="auto"/>
                <w:sz w:val="24"/>
                <w:szCs w:val="24"/>
                <w:highlight w:val="none"/>
                <w:lang w:val="en-US" w:eastAsia="zh-CN"/>
              </w:rPr>
              <w:t>；</w:t>
            </w:r>
          </w:p>
          <w:p>
            <w:pPr>
              <w:adjustRightInd/>
              <w:snapToGrid w:val="0"/>
              <w:spacing w:line="240" w:lineRule="auto"/>
              <w:jc w:val="both"/>
              <w:rPr>
                <w:rFonts w:hint="eastAsia" w:ascii="Times New Roman" w:hAnsi="Times New Roman" w:eastAsia="仿宋" w:cs="Times New Roman"/>
                <w:b w:val="0"/>
                <w:bCs w:val="0"/>
                <w:color w:val="auto"/>
                <w:sz w:val="24"/>
                <w:szCs w:val="24"/>
                <w:highlight w:val="none"/>
                <w:lang w:val="en-US" w:eastAsia="zh-CN"/>
              </w:rPr>
            </w:pPr>
            <w:r>
              <w:rPr>
                <w:rFonts w:hint="eastAsia" w:ascii="Times New Roman" w:hAnsi="Times New Roman" w:eastAsia="仿宋" w:cs="Times New Roman"/>
                <w:b w:val="0"/>
                <w:bCs w:val="0"/>
                <w:color w:val="auto"/>
                <w:sz w:val="24"/>
                <w:szCs w:val="24"/>
                <w:highlight w:val="none"/>
                <w:lang w:val="en-US" w:eastAsia="en-US"/>
              </w:rPr>
              <w:t>4.悬挂位置：建议一般固体废物贮存场外墙壁上</w:t>
            </w:r>
            <w:r>
              <w:rPr>
                <w:rFonts w:hint="eastAsia" w:ascii="Times New Roman" w:hAnsi="Times New Roman" w:eastAsia="仿宋" w:cs="Times New Roman"/>
                <w:b w:val="0"/>
                <w:bCs w:val="0"/>
                <w:color w:val="auto"/>
                <w:sz w:val="24"/>
                <w:szCs w:val="24"/>
                <w:highlight w:val="none"/>
                <w:lang w:val="en-US" w:eastAsia="zh-CN"/>
              </w:rPr>
              <w:t>；</w:t>
            </w:r>
          </w:p>
          <w:p>
            <w:pPr>
              <w:adjustRightInd/>
              <w:snapToGrid w:val="0"/>
              <w:spacing w:line="240" w:lineRule="auto"/>
              <w:jc w:val="both"/>
              <w:rPr>
                <w:rFonts w:hint="eastAsia" w:ascii="Times New Roman" w:hAnsi="Times New Roman" w:eastAsia="仿宋" w:cs="Times New Roman"/>
                <w:b w:val="0"/>
                <w:bCs w:val="0"/>
                <w:color w:val="auto"/>
                <w:sz w:val="24"/>
                <w:szCs w:val="24"/>
                <w:highlight w:val="none"/>
                <w:lang w:val="en-US" w:eastAsia="zh-CN"/>
              </w:rPr>
            </w:pPr>
            <w:r>
              <w:rPr>
                <w:rFonts w:hint="eastAsia" w:ascii="Times New Roman" w:hAnsi="Times New Roman" w:eastAsia="仿宋" w:cs="Times New Roman"/>
                <w:b w:val="0"/>
                <w:bCs w:val="0"/>
                <w:color w:val="auto"/>
                <w:sz w:val="24"/>
                <w:szCs w:val="24"/>
                <w:highlight w:val="none"/>
                <w:lang w:val="en-US" w:eastAsia="en-US"/>
              </w:rPr>
              <w:t>5.提示图形符号：用于向人们提供某种环境信息的符号</w:t>
            </w:r>
            <w:r>
              <w:rPr>
                <w:rFonts w:hint="eastAsia" w:ascii="Times New Roman" w:hAnsi="Times New Roman" w:eastAsia="仿宋" w:cs="Times New Roman"/>
                <w:b w:val="0"/>
                <w:bCs w:val="0"/>
                <w:color w:val="auto"/>
                <w:sz w:val="24"/>
                <w:szCs w:val="24"/>
                <w:highlight w:val="none"/>
                <w:lang w:val="en-US" w:eastAsia="zh-CN"/>
              </w:rPr>
              <w:t>；</w:t>
            </w:r>
          </w:p>
          <w:p>
            <w:pPr>
              <w:adjustRightInd/>
              <w:snapToGrid w:val="0"/>
              <w:spacing w:line="240" w:lineRule="auto"/>
              <w:jc w:val="both"/>
              <w:rPr>
                <w:rFonts w:ascii="Times New Roman" w:hAnsi="Times New Roman" w:eastAsia="仿宋" w:cs="Times New Roman"/>
                <w:b w:val="0"/>
                <w:bCs w:val="0"/>
                <w:color w:val="auto"/>
                <w:sz w:val="24"/>
                <w:szCs w:val="24"/>
                <w:highlight w:val="none"/>
              </w:rPr>
            </w:pPr>
            <w:r>
              <w:rPr>
                <w:rFonts w:hint="eastAsia" w:ascii="Times New Roman" w:hAnsi="Times New Roman" w:eastAsia="仿宋" w:cs="Times New Roman"/>
                <w:b w:val="0"/>
                <w:bCs w:val="0"/>
                <w:color w:val="auto"/>
                <w:sz w:val="24"/>
                <w:szCs w:val="24"/>
                <w:highlight w:val="none"/>
                <w:lang w:val="en-US" w:eastAsia="en-US"/>
              </w:rPr>
              <w:t>6.警告图形符号：用于提醒人们注意废物贮存、处置过程中可能造成危害的符号。</w:t>
            </w:r>
          </w:p>
        </w:tc>
      </w:tr>
    </w:tbl>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（二）达标标</w:t>
      </w:r>
      <w:r>
        <w:rPr>
          <w:rFonts w:hint="eastAsia" w:ascii="方正仿宋_GBK" w:hAnsi="方正仿宋_GBK" w:eastAsia="方正仿宋_GBK" w:cs="方正仿宋_GBK"/>
          <w:b w:val="0"/>
          <w:bCs w:val="0"/>
          <w:color w:val="auto"/>
          <w:sz w:val="32"/>
          <w:szCs w:val="32"/>
          <w:highlight w:val="none"/>
          <w:lang w:val="en-US" w:eastAsia="en-US"/>
        </w:rPr>
        <w:t>准</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en-US" w:bidi="ar-SA"/>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产生单位</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按规定建设一般工业固体废物贮存设施，</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并</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规范贮存一般工业固体废物。同时，产生尾矿库的单位按规范开展污染隐患排查治理。</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en-US"/>
        </w:rPr>
        <w:t>（三）法律依据</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val="en-US" w:eastAsia="en-US"/>
        </w:rPr>
        <w:t>《固废法》第五条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产生、收集、贮存、运输、利用、处置固体废物的单位和个人，应当采取措施，防止或者减少固体废物对环境的污染，对所造成的环境污染依法承担责任</w:t>
      </w:r>
      <w:r>
        <w:rPr>
          <w:rFonts w:hint="eastAsia" w:ascii="方正仿宋_GBK" w:hAnsi="方正仿宋_GBK" w:eastAsia="方正仿宋_GBK" w:cs="方正仿宋_GBK"/>
          <w:b w:val="0"/>
          <w:bCs w:val="0"/>
          <w:color w:val="auto"/>
          <w:sz w:val="32"/>
          <w:szCs w:val="32"/>
          <w:highlight w:val="none"/>
          <w:lang w:val="en-US" w:eastAsia="zh-CN"/>
        </w:rPr>
        <w:t>。</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《固废法》第二十条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产生、收集、贮存、运输、利用、处置固体废物的单位和其他生产经营者，应当采取防扬散、防流失、防渗漏或者其他防止污染环境的措施，不得擅自倾倒、堆放、丢弃、遗撒固体废物</w:t>
      </w:r>
      <w:r>
        <w:rPr>
          <w:rFonts w:hint="eastAsia" w:ascii="方正仿宋_GBK" w:hAnsi="方正仿宋_GBK" w:eastAsia="方正仿宋_GBK" w:cs="方正仿宋_GBK"/>
          <w:b w:val="0"/>
          <w:bCs w:val="0"/>
          <w:color w:val="auto"/>
          <w:sz w:val="32"/>
          <w:szCs w:val="32"/>
          <w:highlight w:val="none"/>
          <w:lang w:val="en-US" w:eastAsia="zh-CN"/>
        </w:rPr>
        <w:t>。</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w:t>
      </w:r>
      <w:r>
        <w:rPr>
          <w:rFonts w:hint="eastAsia" w:ascii="方正仿宋_GBK" w:hAnsi="方正仿宋_GBK" w:eastAsia="方正仿宋_GBK" w:cs="方正仿宋_GBK"/>
          <w:b w:val="0"/>
          <w:bCs w:val="0"/>
          <w:color w:val="auto"/>
          <w:sz w:val="32"/>
          <w:szCs w:val="32"/>
          <w:highlight w:val="none"/>
          <w:lang w:val="en-US" w:eastAsia="en-US"/>
        </w:rPr>
        <w:t>《固废法》第三十六条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禁止向生活垃圾收集设施中投放工业固体废物</w:t>
      </w:r>
      <w:r>
        <w:rPr>
          <w:rFonts w:hint="eastAsia" w:ascii="方正仿宋_GBK" w:hAnsi="方正仿宋_GBK" w:eastAsia="方正仿宋_GBK" w:cs="方正仿宋_GBK"/>
          <w:b w:val="0"/>
          <w:bCs w:val="0"/>
          <w:color w:val="auto"/>
          <w:sz w:val="32"/>
          <w:szCs w:val="32"/>
          <w:highlight w:val="none"/>
          <w:lang w:val="en-US" w:eastAsia="zh-CN"/>
        </w:rPr>
        <w:t>。</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（4）</w:t>
      </w:r>
      <w:r>
        <w:rPr>
          <w:rFonts w:hint="eastAsia" w:ascii="方正仿宋_GBK" w:hAnsi="方正仿宋_GBK" w:eastAsia="方正仿宋_GBK" w:cs="方正仿宋_GBK"/>
          <w:b w:val="0"/>
          <w:bCs w:val="0"/>
          <w:color w:val="auto"/>
          <w:sz w:val="32"/>
          <w:szCs w:val="32"/>
          <w:highlight w:val="none"/>
          <w:lang w:val="en-US" w:eastAsia="en-US"/>
        </w:rPr>
        <w:t>《固废法》第四十条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工业固体废物的单位应当根据经济、技术条件对工业固体废物加以利用；对暂时不利用或者不能利用的，应当按照国务院生态环境等主管部门的规定建设贮存设施、场所，安全分类存放，或者采取无害化处置措施。贮存工业固体废物应当采取符合国家环境保护标准的防护措施</w:t>
      </w:r>
      <w:r>
        <w:rPr>
          <w:rFonts w:hint="eastAsia" w:ascii="方正仿宋_GBK" w:hAnsi="方正仿宋_GBK" w:eastAsia="方正仿宋_GBK" w:cs="方正仿宋_GBK"/>
          <w:b w:val="0"/>
          <w:bCs w:val="0"/>
          <w:color w:val="auto"/>
          <w:sz w:val="32"/>
          <w:szCs w:val="32"/>
          <w:highlight w:val="none"/>
          <w:lang w:val="en-US" w:eastAsia="zh-CN"/>
        </w:rPr>
        <w:t>。</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（5）</w:t>
      </w:r>
      <w:r>
        <w:rPr>
          <w:rFonts w:hint="eastAsia" w:ascii="方正仿宋_GBK" w:hAnsi="方正仿宋_GBK" w:eastAsia="方正仿宋_GBK" w:cs="方正仿宋_GBK"/>
          <w:b w:val="0"/>
          <w:bCs w:val="0"/>
          <w:color w:val="auto"/>
          <w:sz w:val="32"/>
          <w:szCs w:val="32"/>
          <w:highlight w:val="none"/>
          <w:lang w:val="en-US" w:eastAsia="en-US"/>
        </w:rPr>
        <w:t>《尾矿库污染隐患排查治理工作指南（试行）》（生态环境部公告2022年第10号）</w:t>
      </w:r>
      <w:r>
        <w:rPr>
          <w:rFonts w:hint="eastAsia" w:ascii="方正仿宋_GBK" w:hAnsi="方正仿宋_GBK" w:eastAsia="方正仿宋_GBK" w:cs="方正仿宋_GBK"/>
          <w:b w:val="0"/>
          <w:bCs w:val="0"/>
          <w:color w:val="auto"/>
          <w:sz w:val="32"/>
          <w:szCs w:val="32"/>
          <w:highlight w:val="none"/>
          <w:lang w:val="en-US" w:eastAsia="zh-CN"/>
        </w:rPr>
        <w:t>。</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六、利用处置管理</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（一）评估要点</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pP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1）</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一般工业固体废物资源化利用产物</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应当符合《固体废物鉴别标准 通则》的相关要求。</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（2）</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一般工业固体废物以焚烧、填埋、水泥窑等方式自行处置</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的，</w:t>
      </w:r>
      <w:r>
        <w:rPr>
          <w:rFonts w:hint="eastAsia" w:ascii="方正仿宋_GBK" w:hAnsi="方正仿宋_GBK" w:eastAsia="方正仿宋_GBK" w:cs="方正仿宋_GBK"/>
          <w:b w:val="0"/>
          <w:bCs w:val="0"/>
          <w:color w:val="auto"/>
          <w:sz w:val="32"/>
          <w:szCs w:val="32"/>
          <w:highlight w:val="none"/>
          <w:lang w:val="en-US" w:eastAsia="zh-CN"/>
        </w:rPr>
        <w:t>应</w:t>
      </w:r>
      <w:r>
        <w:rPr>
          <w:rFonts w:hint="eastAsia" w:ascii="方正仿宋_GBK" w:hAnsi="方正仿宋_GBK" w:eastAsia="方正仿宋_GBK" w:cs="方正仿宋_GBK"/>
          <w:b w:val="0"/>
          <w:bCs w:val="0"/>
          <w:color w:val="auto"/>
          <w:sz w:val="32"/>
          <w:szCs w:val="32"/>
          <w:highlight w:val="none"/>
          <w:lang w:val="en-US" w:eastAsia="en-US"/>
        </w:rPr>
        <w:t>符合《一般工业固体废物贮存和填埋污染控制标准》（GB</w:t>
      </w:r>
      <w:r>
        <w:rPr>
          <w:rFonts w:hint="eastAsia" w:ascii="方正仿宋_GBK" w:hAnsi="方正仿宋_GBK" w:eastAsia="方正仿宋_GBK" w:cs="方正仿宋_GBK"/>
          <w:b w:val="0"/>
          <w:bCs w:val="0"/>
          <w:color w:val="auto"/>
          <w:sz w:val="32"/>
          <w:szCs w:val="32"/>
          <w:highlight w:val="none"/>
          <w:lang w:val="en-US" w:eastAsia="zh-CN"/>
        </w:rPr>
        <w:t xml:space="preserve"> </w:t>
      </w:r>
      <w:r>
        <w:rPr>
          <w:rFonts w:hint="eastAsia" w:ascii="方正仿宋_GBK" w:hAnsi="方正仿宋_GBK" w:eastAsia="方正仿宋_GBK" w:cs="方正仿宋_GBK"/>
          <w:b w:val="0"/>
          <w:bCs w:val="0"/>
          <w:color w:val="auto"/>
          <w:sz w:val="32"/>
          <w:szCs w:val="32"/>
          <w:highlight w:val="none"/>
          <w:lang w:val="en-US" w:eastAsia="en-US"/>
        </w:rPr>
        <w:t>18599）、《生活垃圾焚烧污染控制标准》（GB</w:t>
      </w:r>
      <w:r>
        <w:rPr>
          <w:rFonts w:hint="eastAsia" w:ascii="方正仿宋_GBK" w:hAnsi="方正仿宋_GBK" w:eastAsia="方正仿宋_GBK" w:cs="方正仿宋_GBK"/>
          <w:b w:val="0"/>
          <w:bCs w:val="0"/>
          <w:color w:val="auto"/>
          <w:sz w:val="32"/>
          <w:szCs w:val="32"/>
          <w:highlight w:val="none"/>
          <w:lang w:val="en-US" w:eastAsia="zh-CN"/>
        </w:rPr>
        <w:t xml:space="preserve"> </w:t>
      </w:r>
      <w:r>
        <w:rPr>
          <w:rFonts w:hint="eastAsia" w:ascii="方正仿宋_GBK" w:hAnsi="方正仿宋_GBK" w:eastAsia="方正仿宋_GBK" w:cs="方正仿宋_GBK"/>
          <w:b w:val="0"/>
          <w:bCs w:val="0"/>
          <w:color w:val="auto"/>
          <w:sz w:val="32"/>
          <w:szCs w:val="32"/>
          <w:highlight w:val="none"/>
          <w:lang w:val="en-US" w:eastAsia="en-US"/>
        </w:rPr>
        <w:t>18485）、《水泥窑协同处置固体废物污染控制标准》（GB</w:t>
      </w:r>
      <w:r>
        <w:rPr>
          <w:rFonts w:hint="eastAsia" w:ascii="方正仿宋_GBK" w:hAnsi="方正仿宋_GBK" w:eastAsia="方正仿宋_GBK" w:cs="方正仿宋_GBK"/>
          <w:b w:val="0"/>
          <w:bCs w:val="0"/>
          <w:color w:val="auto"/>
          <w:sz w:val="32"/>
          <w:szCs w:val="32"/>
          <w:highlight w:val="none"/>
          <w:lang w:val="en-US" w:eastAsia="zh-CN"/>
        </w:rPr>
        <w:t xml:space="preserve"> </w:t>
      </w:r>
      <w:r>
        <w:rPr>
          <w:rFonts w:hint="eastAsia" w:ascii="方正仿宋_GBK" w:hAnsi="方正仿宋_GBK" w:eastAsia="方正仿宋_GBK" w:cs="方正仿宋_GBK"/>
          <w:b w:val="0"/>
          <w:bCs w:val="0"/>
          <w:color w:val="auto"/>
          <w:sz w:val="32"/>
          <w:szCs w:val="32"/>
          <w:highlight w:val="none"/>
          <w:lang w:val="en-US" w:eastAsia="en-US"/>
        </w:rPr>
        <w:t>30485）等有关标准规范。</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（二）达标标准</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产废</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单位对一般工业固体废物进行资源化利用时，其资源化产品符合《固体废物鉴别标准 通则》的相关要求；进行无害化处置时，其运行符合相关标准规范。同时，相关利用处置设施的建设应依法进行环境影响评价，并完成</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三同时</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验收。</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（三）注意事项</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snapToGrid/>
          <w:color w:val="auto"/>
          <w:spacing w:val="0"/>
          <w:sz w:val="32"/>
          <w:szCs w:val="32"/>
          <w:highlight w:val="none"/>
          <w:lang w:val="en-US" w:eastAsia="zh-CN" w:bidi="ar-SA"/>
        </w:rPr>
      </w:pPr>
      <w:r>
        <w:rPr>
          <w:rFonts w:hint="eastAsia" w:ascii="方正仿宋_GBK" w:hAnsi="方正仿宋_GBK" w:eastAsia="方正仿宋_GBK" w:cs="方正仿宋_GBK"/>
          <w:b w:val="0"/>
          <w:bCs w:val="0"/>
          <w:snapToGrid/>
          <w:color w:val="auto"/>
          <w:spacing w:val="0"/>
          <w:sz w:val="32"/>
          <w:szCs w:val="32"/>
          <w:highlight w:val="none"/>
          <w:lang w:val="en-US" w:eastAsia="zh-CN" w:bidi="ar-SA"/>
        </w:rPr>
        <w:t>本项适用于建设有一般工业固体废物资源化利用或无害化处置设施，且该设施正常运行的所有企业。</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en-US"/>
        </w:rPr>
        <w:t>（</w:t>
      </w:r>
      <w:r>
        <w:rPr>
          <w:rFonts w:hint="eastAsia" w:ascii="方正仿宋_GBK" w:hAnsi="方正仿宋_GBK" w:eastAsia="方正仿宋_GBK" w:cs="方正仿宋_GBK"/>
          <w:b w:val="0"/>
          <w:bCs w:val="0"/>
          <w:color w:val="auto"/>
          <w:sz w:val="32"/>
          <w:szCs w:val="32"/>
          <w:highlight w:val="none"/>
          <w:lang w:val="en-US" w:eastAsia="zh-CN"/>
        </w:rPr>
        <w:t>四</w:t>
      </w:r>
      <w:r>
        <w:rPr>
          <w:rFonts w:hint="eastAsia" w:ascii="方正仿宋_GBK" w:hAnsi="方正仿宋_GBK" w:eastAsia="方正仿宋_GBK" w:cs="方正仿宋_GBK"/>
          <w:b w:val="0"/>
          <w:bCs w:val="0"/>
          <w:color w:val="auto"/>
          <w:sz w:val="32"/>
          <w:szCs w:val="32"/>
          <w:highlight w:val="none"/>
          <w:lang w:val="en-US" w:eastAsia="en-US"/>
        </w:rPr>
        <w:t>）法律依据</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val="en-US" w:eastAsia="en-US"/>
        </w:rPr>
        <w:t>《固废法》第五条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产生、收集、贮存、运输、利用、处置固体废物的单位和个人，应当采取措施，防止或者减少固体废物对环境的污染，对所造成的环境污染依法承担责任</w:t>
      </w:r>
      <w:r>
        <w:rPr>
          <w:rFonts w:hint="eastAsia" w:ascii="方正仿宋_GBK" w:hAnsi="方正仿宋_GBK" w:eastAsia="方正仿宋_GBK" w:cs="方正仿宋_GBK"/>
          <w:b w:val="0"/>
          <w:bCs w:val="0"/>
          <w:color w:val="auto"/>
          <w:sz w:val="32"/>
          <w:szCs w:val="32"/>
          <w:highlight w:val="none"/>
          <w:lang w:val="en-US" w:eastAsia="zh-CN"/>
        </w:rPr>
        <w:t>；</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《固废法》第四十条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工业固体废物的单位应当根据经济、技术条件对工业固体废物加以利用；对暂时不利用或者不能利用的，应当按照国务院生态环境等主管部门的规定建设贮存设施、场所，安全分类存放，或者采取无害化处置措施。贮存工业固体废物应当采取符合国家环境保护标准的防护措施。</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七、</w:t>
      </w:r>
      <w:r>
        <w:rPr>
          <w:rFonts w:hint="eastAsia" w:ascii="方正仿宋_GBK" w:hAnsi="方正仿宋_GBK" w:eastAsia="方正仿宋_GBK" w:cs="方正仿宋_GBK"/>
          <w:b w:val="0"/>
          <w:bCs w:val="0"/>
          <w:color w:val="auto"/>
          <w:sz w:val="32"/>
          <w:szCs w:val="32"/>
          <w:highlight w:val="none"/>
          <w:lang w:val="en-US" w:eastAsia="en-US"/>
        </w:rPr>
        <w:t>转移管理</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（一）评估要点</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val="en-US" w:eastAsia="en-US"/>
        </w:rPr>
        <w:t>产生单位直接委托</w:t>
      </w:r>
      <w:r>
        <w:rPr>
          <w:rFonts w:hint="eastAsia" w:ascii="方正仿宋_GBK" w:hAnsi="方正仿宋_GBK" w:eastAsia="方正仿宋_GBK" w:cs="方正仿宋_GBK"/>
          <w:b w:val="0"/>
          <w:bCs w:val="0"/>
          <w:color w:val="auto"/>
          <w:sz w:val="32"/>
          <w:szCs w:val="32"/>
          <w:highlight w:val="none"/>
          <w:lang w:val="en-US" w:eastAsia="zh-CN"/>
        </w:rPr>
        <w:t>受托方或由受托方代为委托的服务方</w:t>
      </w:r>
      <w:r>
        <w:rPr>
          <w:rFonts w:hint="eastAsia" w:ascii="方正仿宋_GBK" w:hAnsi="方正仿宋_GBK" w:eastAsia="方正仿宋_GBK" w:cs="方正仿宋_GBK"/>
          <w:b w:val="0"/>
          <w:bCs w:val="0"/>
          <w:color w:val="auto"/>
          <w:sz w:val="32"/>
          <w:szCs w:val="32"/>
          <w:highlight w:val="none"/>
          <w:lang w:val="en-US" w:eastAsia="en-US"/>
        </w:rPr>
        <w:t>利用处置一般工业固体废物的，在发生委托行为之前，核实受托方</w:t>
      </w:r>
      <w:r>
        <w:rPr>
          <w:rFonts w:hint="eastAsia" w:ascii="方正仿宋_GBK" w:hAnsi="方正仿宋_GBK" w:eastAsia="方正仿宋_GBK" w:cs="方正仿宋_GBK"/>
          <w:b w:val="0"/>
          <w:bCs w:val="0"/>
          <w:color w:val="auto"/>
          <w:sz w:val="32"/>
          <w:szCs w:val="32"/>
          <w:highlight w:val="none"/>
          <w:lang w:val="en-US" w:eastAsia="zh-CN"/>
        </w:rPr>
        <w:t>或由受托方代为委托的服务方</w:t>
      </w:r>
      <w:r>
        <w:rPr>
          <w:rFonts w:hint="eastAsia" w:ascii="方正仿宋_GBK" w:hAnsi="方正仿宋_GBK" w:eastAsia="方正仿宋_GBK" w:cs="方正仿宋_GBK"/>
          <w:b w:val="0"/>
          <w:bCs w:val="0"/>
          <w:color w:val="auto"/>
          <w:sz w:val="32"/>
          <w:szCs w:val="32"/>
          <w:highlight w:val="none"/>
          <w:lang w:val="en-US" w:eastAsia="en-US"/>
        </w:rPr>
        <w:t>的主体资格和技术能力</w:t>
      </w:r>
      <w:r>
        <w:rPr>
          <w:rFonts w:hint="eastAsia" w:ascii="方正仿宋_GBK" w:hAnsi="方正仿宋_GBK" w:eastAsia="方正仿宋_GBK" w:cs="方正仿宋_GBK"/>
          <w:b w:val="0"/>
          <w:bCs w:val="0"/>
          <w:color w:val="auto"/>
          <w:sz w:val="32"/>
          <w:szCs w:val="32"/>
          <w:highlight w:val="none"/>
          <w:lang w:val="en-US" w:eastAsia="zh-CN"/>
        </w:rPr>
        <w:t>：</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（a）营业执照；</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（b）环境影响评价文件及批复文件；</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（c）排污许可证。</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基于上述材料，或者产废单位认为有必要的，可到利用、处置单位施工现场，进一步核实该利用、处置企业的技术能力。</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产废单位与受托单位签订的合同至少应包含以下内容</w:t>
      </w:r>
      <w:r>
        <w:rPr>
          <w:rFonts w:hint="eastAsia" w:ascii="方正仿宋_GBK" w:hAnsi="方正仿宋_GBK" w:eastAsia="方正仿宋_GBK" w:cs="方正仿宋_GBK"/>
          <w:b w:val="0"/>
          <w:bCs w:val="0"/>
          <w:color w:val="auto"/>
          <w:sz w:val="32"/>
          <w:szCs w:val="32"/>
          <w:highlight w:val="none"/>
          <w:lang w:val="en-US" w:eastAsia="en-US"/>
        </w:rPr>
        <w:t>：</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val="en-US" w:eastAsia="en-US"/>
        </w:rPr>
        <w:t>一般工业固体废物的产生环节</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种类</w:t>
      </w:r>
      <w:r>
        <w:rPr>
          <w:rFonts w:hint="eastAsia" w:ascii="方正仿宋_GBK" w:hAnsi="方正仿宋_GBK" w:eastAsia="方正仿宋_GBK" w:cs="方正仿宋_GBK"/>
          <w:b w:val="0"/>
          <w:bCs w:val="0"/>
          <w:color w:val="auto"/>
          <w:sz w:val="32"/>
          <w:szCs w:val="32"/>
          <w:highlight w:val="none"/>
          <w:lang w:val="en-US" w:eastAsia="zh-CN"/>
        </w:rPr>
        <w:t>、代码、</w:t>
      </w:r>
      <w:r>
        <w:rPr>
          <w:rFonts w:hint="eastAsia" w:ascii="方正仿宋_GBK" w:hAnsi="方正仿宋_GBK" w:eastAsia="方正仿宋_GBK" w:cs="方正仿宋_GBK"/>
          <w:b w:val="0"/>
          <w:bCs w:val="0"/>
          <w:color w:val="auto"/>
          <w:sz w:val="32"/>
          <w:szCs w:val="32"/>
          <w:highlight w:val="none"/>
          <w:lang w:val="en-US" w:eastAsia="en-US"/>
        </w:rPr>
        <w:t>物理性状</w:t>
      </w:r>
      <w:r>
        <w:rPr>
          <w:rFonts w:hint="eastAsia" w:ascii="方正仿宋_GBK" w:hAnsi="方正仿宋_GBK" w:eastAsia="方正仿宋_GBK" w:cs="方正仿宋_GBK"/>
          <w:b w:val="0"/>
          <w:bCs w:val="0"/>
          <w:color w:val="auto"/>
          <w:sz w:val="32"/>
          <w:szCs w:val="32"/>
          <w:highlight w:val="none"/>
          <w:lang w:val="en-US" w:eastAsia="zh-CN"/>
        </w:rPr>
        <w:t>、包装方式、</w:t>
      </w:r>
      <w:r>
        <w:rPr>
          <w:rFonts w:hint="eastAsia" w:ascii="方正仿宋_GBK" w:hAnsi="方正仿宋_GBK" w:eastAsia="方正仿宋_GBK" w:cs="方正仿宋_GBK"/>
          <w:b w:val="0"/>
          <w:bCs w:val="0"/>
          <w:color w:val="auto"/>
          <w:sz w:val="32"/>
          <w:szCs w:val="32"/>
          <w:highlight w:val="none"/>
          <w:lang w:val="en-US" w:eastAsia="en-US"/>
        </w:rPr>
        <w:t>数量</w:t>
      </w:r>
      <w:r>
        <w:rPr>
          <w:rFonts w:hint="eastAsia" w:ascii="方正仿宋_GBK" w:hAnsi="方正仿宋_GBK" w:eastAsia="方正仿宋_GBK" w:cs="方正仿宋_GBK"/>
          <w:b w:val="0"/>
          <w:bCs w:val="0"/>
          <w:color w:val="auto"/>
          <w:sz w:val="32"/>
          <w:szCs w:val="32"/>
          <w:highlight w:val="none"/>
          <w:lang w:val="en-US" w:eastAsia="zh-CN"/>
        </w:rPr>
        <w:t>及处置方式等。</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2）受托方贮存</w:t>
      </w:r>
      <w:r>
        <w:rPr>
          <w:rFonts w:hint="eastAsia" w:ascii="方正仿宋_GBK" w:hAnsi="方正仿宋_GBK" w:eastAsia="方正仿宋_GBK" w:cs="方正仿宋_GBK"/>
          <w:b w:val="0"/>
          <w:bCs w:val="0"/>
          <w:color w:val="auto"/>
          <w:sz w:val="32"/>
          <w:szCs w:val="32"/>
          <w:highlight w:val="none"/>
          <w:lang w:val="en-US" w:eastAsia="en-US"/>
        </w:rPr>
        <w:t>一般工业固体废物的</w:t>
      </w:r>
      <w:r>
        <w:rPr>
          <w:rFonts w:hint="eastAsia" w:ascii="方正仿宋_GBK" w:hAnsi="方正仿宋_GBK" w:eastAsia="方正仿宋_GBK" w:cs="方正仿宋_GBK"/>
          <w:b w:val="0"/>
          <w:bCs w:val="0"/>
          <w:color w:val="auto"/>
          <w:sz w:val="32"/>
          <w:szCs w:val="32"/>
          <w:highlight w:val="none"/>
          <w:lang w:val="en-US" w:eastAsia="zh-CN"/>
        </w:rPr>
        <w:t>场所；若有</w:t>
      </w:r>
      <w:r>
        <w:rPr>
          <w:rFonts w:hint="eastAsia" w:ascii="方正仿宋_GBK" w:hAnsi="方正仿宋_GBK" w:eastAsia="方正仿宋_GBK" w:cs="方正仿宋_GBK"/>
          <w:b w:val="0"/>
          <w:bCs w:val="0"/>
          <w:color w:val="auto"/>
          <w:sz w:val="32"/>
          <w:szCs w:val="32"/>
          <w:highlight w:val="none"/>
          <w:lang w:val="en-US" w:eastAsia="en-US"/>
        </w:rPr>
        <w:t>利用</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处置</w:t>
      </w:r>
      <w:r>
        <w:rPr>
          <w:rFonts w:hint="eastAsia" w:ascii="方正仿宋_GBK" w:hAnsi="方正仿宋_GBK" w:eastAsia="方正仿宋_GBK" w:cs="方正仿宋_GBK"/>
          <w:b w:val="0"/>
          <w:bCs w:val="0"/>
          <w:color w:val="auto"/>
          <w:sz w:val="32"/>
          <w:szCs w:val="32"/>
          <w:highlight w:val="none"/>
          <w:lang w:val="en-US" w:eastAsia="zh-CN"/>
        </w:rPr>
        <w:t>设施，还应明确利用/处置一般工业固体废物的场所、</w:t>
      </w:r>
      <w:r>
        <w:rPr>
          <w:rFonts w:hint="eastAsia" w:ascii="方正仿宋_GBK" w:hAnsi="方正仿宋_GBK" w:eastAsia="方正仿宋_GBK" w:cs="方正仿宋_GBK"/>
          <w:b w:val="0"/>
          <w:bCs w:val="0"/>
          <w:color w:val="auto"/>
          <w:sz w:val="32"/>
          <w:szCs w:val="32"/>
          <w:highlight w:val="none"/>
          <w:lang w:val="en-US" w:eastAsia="en-US"/>
        </w:rPr>
        <w:t>采取的技术方法以及利用</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处置能力</w:t>
      </w:r>
      <w:r>
        <w:rPr>
          <w:rFonts w:hint="eastAsia" w:ascii="方正仿宋_GBK" w:hAnsi="方正仿宋_GBK" w:eastAsia="方正仿宋_GBK" w:cs="方正仿宋_GBK"/>
          <w:b w:val="0"/>
          <w:bCs w:val="0"/>
          <w:color w:val="auto"/>
          <w:sz w:val="32"/>
          <w:szCs w:val="32"/>
          <w:highlight w:val="none"/>
          <w:lang w:val="en-US" w:eastAsia="zh-CN"/>
        </w:rPr>
        <w:t>。</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3）受托方或由受托方代为委托的服务方</w:t>
      </w:r>
      <w:r>
        <w:rPr>
          <w:rFonts w:hint="eastAsia" w:ascii="方正仿宋_GBK" w:hAnsi="方正仿宋_GBK" w:eastAsia="方正仿宋_GBK" w:cs="方正仿宋_GBK"/>
          <w:b w:val="0"/>
          <w:bCs w:val="0"/>
          <w:color w:val="auto"/>
          <w:sz w:val="32"/>
          <w:szCs w:val="32"/>
          <w:highlight w:val="none"/>
          <w:lang w:val="en-US" w:eastAsia="en-US"/>
        </w:rPr>
        <w:t>利用</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处置</w:t>
      </w:r>
      <w:r>
        <w:rPr>
          <w:rFonts w:hint="eastAsia" w:ascii="方正仿宋_GBK" w:hAnsi="方正仿宋_GBK" w:eastAsia="方正仿宋_GBK" w:cs="方正仿宋_GBK"/>
          <w:b w:val="0"/>
          <w:bCs w:val="0"/>
          <w:color w:val="auto"/>
          <w:sz w:val="32"/>
          <w:szCs w:val="32"/>
          <w:highlight w:val="none"/>
          <w:lang w:val="en-US" w:eastAsia="zh-CN"/>
        </w:rPr>
        <w:t>一般工业固体废物</w:t>
      </w:r>
      <w:r>
        <w:rPr>
          <w:rFonts w:hint="eastAsia" w:ascii="方正仿宋_GBK" w:hAnsi="方正仿宋_GBK" w:eastAsia="方正仿宋_GBK" w:cs="方正仿宋_GBK"/>
          <w:b w:val="0"/>
          <w:bCs w:val="0"/>
          <w:color w:val="auto"/>
          <w:sz w:val="32"/>
          <w:szCs w:val="32"/>
          <w:highlight w:val="none"/>
          <w:lang w:val="en-US" w:eastAsia="en-US"/>
        </w:rPr>
        <w:t>结束后，受托方</w:t>
      </w:r>
      <w:r>
        <w:rPr>
          <w:rFonts w:hint="eastAsia" w:ascii="方正仿宋_GBK" w:hAnsi="方正仿宋_GBK" w:eastAsia="方正仿宋_GBK" w:cs="方正仿宋_GBK"/>
          <w:b w:val="0"/>
          <w:bCs w:val="0"/>
          <w:color w:val="auto"/>
          <w:sz w:val="32"/>
          <w:szCs w:val="32"/>
          <w:highlight w:val="none"/>
          <w:lang w:val="en-US" w:eastAsia="zh-CN"/>
        </w:rPr>
        <w:t>应及时</w:t>
      </w:r>
      <w:r>
        <w:rPr>
          <w:rFonts w:hint="eastAsia" w:ascii="方正仿宋_GBK" w:hAnsi="方正仿宋_GBK" w:eastAsia="方正仿宋_GBK" w:cs="方正仿宋_GBK"/>
          <w:b w:val="0"/>
          <w:bCs w:val="0"/>
          <w:color w:val="auto"/>
          <w:sz w:val="32"/>
          <w:szCs w:val="32"/>
          <w:highlight w:val="none"/>
          <w:lang w:val="en-US" w:eastAsia="en-US"/>
        </w:rPr>
        <w:t>向委托方报告利用处置情况</w:t>
      </w:r>
      <w:r>
        <w:rPr>
          <w:rFonts w:hint="eastAsia" w:ascii="方正仿宋_GBK" w:hAnsi="方正仿宋_GBK" w:eastAsia="方正仿宋_GBK" w:cs="方正仿宋_GBK"/>
          <w:b w:val="0"/>
          <w:bCs w:val="0"/>
          <w:color w:val="auto"/>
          <w:sz w:val="32"/>
          <w:szCs w:val="32"/>
          <w:highlight w:val="none"/>
          <w:lang w:val="en-US" w:eastAsia="zh-CN"/>
        </w:rPr>
        <w:t>，至少1次/年</w:t>
      </w:r>
      <w:r>
        <w:rPr>
          <w:rFonts w:hint="eastAsia" w:ascii="方正仿宋_GBK" w:hAnsi="方正仿宋_GBK" w:eastAsia="方正仿宋_GBK" w:cs="方正仿宋_GBK"/>
          <w:b w:val="0"/>
          <w:bCs w:val="0"/>
          <w:color w:val="auto"/>
          <w:sz w:val="32"/>
          <w:szCs w:val="32"/>
          <w:highlight w:val="none"/>
          <w:lang w:val="en-US" w:eastAsia="en-US"/>
        </w:rPr>
        <w:t>。</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4）明确受托方转移</w:t>
      </w:r>
      <w:r>
        <w:rPr>
          <w:rFonts w:hint="eastAsia" w:ascii="方正仿宋_GBK" w:hAnsi="方正仿宋_GBK" w:eastAsia="方正仿宋_GBK" w:cs="方正仿宋_GBK"/>
          <w:b w:val="0"/>
          <w:bCs w:val="0"/>
          <w:color w:val="auto"/>
          <w:sz w:val="32"/>
          <w:szCs w:val="32"/>
          <w:highlight w:val="none"/>
          <w:lang w:val="en-US" w:eastAsia="en-US"/>
        </w:rPr>
        <w:t>、利用、处置一般工业固体废物</w:t>
      </w:r>
      <w:r>
        <w:rPr>
          <w:rFonts w:hint="eastAsia" w:ascii="方正仿宋_GBK" w:hAnsi="方正仿宋_GBK" w:eastAsia="方正仿宋_GBK" w:cs="方正仿宋_GBK"/>
          <w:b w:val="0"/>
          <w:bCs w:val="0"/>
          <w:color w:val="auto"/>
          <w:sz w:val="32"/>
          <w:szCs w:val="32"/>
          <w:highlight w:val="none"/>
          <w:lang w:val="en-US" w:eastAsia="zh-CN"/>
        </w:rPr>
        <w:t>所</w:t>
      </w:r>
      <w:r>
        <w:rPr>
          <w:rFonts w:hint="eastAsia" w:ascii="方正仿宋_GBK" w:hAnsi="方正仿宋_GBK" w:eastAsia="方正仿宋_GBK" w:cs="方正仿宋_GBK"/>
          <w:b w:val="0"/>
          <w:bCs w:val="0"/>
          <w:color w:val="auto"/>
          <w:sz w:val="32"/>
          <w:szCs w:val="32"/>
          <w:highlight w:val="none"/>
          <w:lang w:val="en-US" w:eastAsia="en-US"/>
        </w:rPr>
        <w:t>执行的污染防治要求。</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5）将核实受托方或由受托方代为委托的服务方利用处置一般工业固体废物能力的文件作为合同附件。</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（3）产生、运输和接收一般工业固体废物的单位应按照实际转移情况如实在“巴渝治废管理信息系统”相关模块填报一般工业固体废物转移联单。</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right="0"/>
        <w:jc w:val="center"/>
        <w:textAlignment w:val="auto"/>
        <w:rPr>
          <w:rFonts w:hint="default" w:ascii="Times New Roman" w:hAnsi="Times New Roman" w:eastAsia="仿宋" w:cs="Times New Roman"/>
          <w:b w:val="0"/>
          <w:bCs w:val="0"/>
          <w:color w:val="auto"/>
          <w:sz w:val="30"/>
          <w:szCs w:val="30"/>
          <w:highlight w:val="none"/>
          <w:lang w:val="en-US" w:eastAsia="zh-CN"/>
        </w:rPr>
      </w:pPr>
      <w:r>
        <w:rPr>
          <w:rFonts w:hint="default" w:ascii="Times New Roman" w:hAnsi="Times New Roman" w:eastAsia="仿宋" w:cs="Times New Roman"/>
          <w:b w:val="0"/>
          <w:bCs w:val="0"/>
          <w:color w:val="auto"/>
          <w:sz w:val="30"/>
          <w:szCs w:val="30"/>
          <w:highlight w:val="none"/>
          <w:lang w:val="en-US" w:eastAsia="zh-CN"/>
        </w:rPr>
        <w:drawing>
          <wp:inline distT="0" distB="0" distL="114300" distR="114300">
            <wp:extent cx="4498340" cy="2023110"/>
            <wp:effectExtent l="12700" t="12700" r="22860" b="21590"/>
            <wp:docPr id="6" name="图片 6" descr="一般工业固废转运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一般工业固废转运单"/>
                    <pic:cNvPicPr>
                      <a:picLocks noChangeAspect="1"/>
                    </pic:cNvPicPr>
                  </pic:nvPicPr>
                  <pic:blipFill>
                    <a:blip r:embed="rId13"/>
                    <a:stretch>
                      <a:fillRect/>
                    </a:stretch>
                  </pic:blipFill>
                  <pic:spPr>
                    <a:xfrm>
                      <a:off x="0" y="0"/>
                      <a:ext cx="4498340" cy="2023110"/>
                    </a:xfrm>
                    <a:prstGeom prst="rect">
                      <a:avLst/>
                    </a:prstGeom>
                    <a:noFill/>
                    <a:ln w="12700">
                      <a:solidFill>
                        <a:schemeClr val="tx1"/>
                      </a:solidFill>
                    </a:ln>
                  </pic:spPr>
                </pic:pic>
              </a:graphicData>
            </a:graphic>
          </wp:inline>
        </w:drawing>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（4）产生单位应与受托方签订利用/处置合同；若受托方不具有利用/处置能力的，产生单位应要求受托方提供其与第三方签订的利用/处置合同。</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（5）一般工业固体废物跨省转移：</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1）一般工业固体废物转移出重庆市区域贮存、处置的，产生单位完成申请及审批手续；</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固体废物跨省贮存、处置审批地址（重庆市网上办事大厅）：</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00" w:firstLineChars="200"/>
        <w:jc w:val="both"/>
        <w:textAlignment w:val="auto"/>
        <w:rPr>
          <w:rFonts w:hint="eastAsia" w:ascii="Times New Roman" w:hAnsi="Times New Roman" w:eastAsia="仿宋" w:cs="Times New Roman"/>
          <w:b w:val="0"/>
          <w:bCs w:val="0"/>
          <w:color w:val="auto"/>
          <w:sz w:val="30"/>
          <w:szCs w:val="30"/>
          <w:highlight w:val="none"/>
          <w:lang w:val="en-US" w:eastAsia="zh-CN"/>
        </w:rPr>
      </w:pPr>
      <w:r>
        <w:rPr>
          <w:rFonts w:hint="eastAsia" w:ascii="Times New Roman" w:hAnsi="Times New Roman" w:eastAsia="仿宋" w:cs="Times New Roman"/>
          <w:b w:val="0"/>
          <w:bCs w:val="0"/>
          <w:color w:val="auto"/>
          <w:sz w:val="30"/>
          <w:szCs w:val="30"/>
          <w:highlight w:val="none"/>
          <w:lang w:val="en-US" w:eastAsia="zh-CN"/>
        </w:rPr>
        <w:fldChar w:fldCharType="begin"/>
      </w:r>
      <w:r>
        <w:rPr>
          <w:rFonts w:hint="eastAsia" w:ascii="Times New Roman" w:hAnsi="Times New Roman" w:eastAsia="仿宋" w:cs="Times New Roman"/>
          <w:b w:val="0"/>
          <w:bCs w:val="0"/>
          <w:color w:val="auto"/>
          <w:sz w:val="30"/>
          <w:szCs w:val="30"/>
          <w:highlight w:val="none"/>
          <w:lang w:val="en-US" w:eastAsia="zh-CN"/>
        </w:rPr>
        <w:instrText xml:space="preserve"> HYPERLINK "https://zwykb.cq.gov.cn/v2/bszn.html?catalogId=58070e49-ebe1-4e3e-b6f3-e051e4718e07&amp;transactCode=&amp;record=istrue" </w:instrText>
      </w:r>
      <w:r>
        <w:rPr>
          <w:rFonts w:hint="eastAsia" w:ascii="Times New Roman" w:hAnsi="Times New Roman" w:eastAsia="仿宋" w:cs="Times New Roman"/>
          <w:b w:val="0"/>
          <w:bCs w:val="0"/>
          <w:color w:val="auto"/>
          <w:sz w:val="30"/>
          <w:szCs w:val="30"/>
          <w:highlight w:val="none"/>
          <w:lang w:val="en-US" w:eastAsia="zh-CN"/>
        </w:rPr>
        <w:fldChar w:fldCharType="separate"/>
      </w:r>
      <w:r>
        <w:rPr>
          <w:rStyle w:val="14"/>
          <w:rFonts w:hint="eastAsia" w:ascii="Times New Roman" w:hAnsi="Times New Roman" w:eastAsia="仿宋" w:cs="Times New Roman"/>
          <w:b w:val="0"/>
          <w:bCs w:val="0"/>
          <w:color w:val="auto"/>
          <w:kern w:val="2"/>
          <w:sz w:val="30"/>
          <w:szCs w:val="30"/>
          <w:highlight w:val="none"/>
          <w:lang w:val="en-US" w:eastAsia="zh-CN" w:bidi="ar-SA"/>
        </w:rPr>
        <w:t>https://zwykb.cq.gov.cn/v2/bszn.html?catalogId=58070e49-ebe1-4e3e-b6f3-e051e4718e07&amp;transactCode=&amp;record=istrue</w:t>
      </w:r>
      <w:r>
        <w:rPr>
          <w:rFonts w:hint="eastAsia" w:ascii="Times New Roman" w:hAnsi="Times New Roman" w:eastAsia="仿宋" w:cs="Times New Roman"/>
          <w:b w:val="0"/>
          <w:bCs w:val="0"/>
          <w:color w:val="auto"/>
          <w:sz w:val="30"/>
          <w:szCs w:val="30"/>
          <w:highlight w:val="none"/>
          <w:lang w:val="en-US" w:eastAsia="zh-CN"/>
        </w:rPr>
        <w:fldChar w:fldCharType="end"/>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right="0"/>
        <w:jc w:val="center"/>
        <w:textAlignment w:val="auto"/>
        <w:rPr>
          <w:rFonts w:hint="default" w:ascii="Times New Roman" w:hAnsi="Times New Roman" w:eastAsia="仿宋" w:cs="Times New Roman"/>
          <w:b w:val="0"/>
          <w:bCs w:val="0"/>
          <w:color w:val="auto"/>
          <w:sz w:val="30"/>
          <w:szCs w:val="30"/>
          <w:highlight w:val="none"/>
          <w:lang w:val="en-US" w:eastAsia="zh-CN"/>
        </w:rPr>
      </w:pPr>
      <w:r>
        <w:rPr>
          <w:b w:val="0"/>
          <w:bCs w:val="0"/>
          <w:color w:val="auto"/>
          <w:highlight w:val="none"/>
        </w:rPr>
        <w:drawing>
          <wp:inline distT="0" distB="0" distL="114300" distR="114300">
            <wp:extent cx="4319905" cy="2023745"/>
            <wp:effectExtent l="12700" t="12700" r="29845" b="2095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14"/>
                    <a:stretch>
                      <a:fillRect/>
                    </a:stretch>
                  </pic:blipFill>
                  <pic:spPr>
                    <a:xfrm>
                      <a:off x="0" y="0"/>
                      <a:ext cx="4319905" cy="2023745"/>
                    </a:xfrm>
                    <a:prstGeom prst="rect">
                      <a:avLst/>
                    </a:prstGeom>
                    <a:noFill/>
                    <a:ln w="12700">
                      <a:solidFill>
                        <a:schemeClr val="tx1"/>
                      </a:solidFill>
                    </a:ln>
                  </pic:spPr>
                </pic:pic>
              </a:graphicData>
            </a:graphic>
          </wp:inline>
        </w:drawing>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2）一般工业固体废物转移出重庆市区域利用的，产生单位完成备案手续。</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固体废物跨省利用备案地址（重庆市网上办事大厅）：</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00" w:firstLineChars="200"/>
        <w:jc w:val="both"/>
        <w:textAlignment w:val="auto"/>
        <w:rPr>
          <w:rFonts w:hint="default" w:ascii="Times New Roman" w:hAnsi="Times New Roman" w:eastAsia="仿宋" w:cs="Times New Roman"/>
          <w:b w:val="0"/>
          <w:bCs w:val="0"/>
          <w:color w:val="auto"/>
          <w:sz w:val="30"/>
          <w:szCs w:val="30"/>
          <w:highlight w:val="none"/>
          <w:lang w:val="en-US" w:eastAsia="zh-CN"/>
        </w:rPr>
      </w:pPr>
      <w:r>
        <w:rPr>
          <w:rFonts w:hint="default" w:ascii="Times New Roman" w:hAnsi="Times New Roman" w:eastAsia="仿宋" w:cs="Times New Roman"/>
          <w:b w:val="0"/>
          <w:bCs w:val="0"/>
          <w:color w:val="auto"/>
          <w:sz w:val="30"/>
          <w:szCs w:val="30"/>
          <w:highlight w:val="none"/>
          <w:lang w:val="en-US" w:eastAsia="zh-CN"/>
        </w:rPr>
        <w:fldChar w:fldCharType="begin"/>
      </w:r>
      <w:r>
        <w:rPr>
          <w:rFonts w:hint="default" w:ascii="Times New Roman" w:hAnsi="Times New Roman" w:eastAsia="仿宋" w:cs="Times New Roman"/>
          <w:b w:val="0"/>
          <w:bCs w:val="0"/>
          <w:color w:val="auto"/>
          <w:sz w:val="30"/>
          <w:szCs w:val="30"/>
          <w:highlight w:val="none"/>
          <w:lang w:val="en-US" w:eastAsia="zh-CN"/>
        </w:rPr>
        <w:instrText xml:space="preserve"> HYPERLINK "https://zwykb.cq.gov.cn/v2/bszn.html?catalogId=bf9669db-de64-4720-9553-6910f4d9cc2f&amp;transactCode=&amp;record=istrue" </w:instrText>
      </w:r>
      <w:r>
        <w:rPr>
          <w:rFonts w:hint="default" w:ascii="Times New Roman" w:hAnsi="Times New Roman" w:eastAsia="仿宋" w:cs="Times New Roman"/>
          <w:b w:val="0"/>
          <w:bCs w:val="0"/>
          <w:color w:val="auto"/>
          <w:sz w:val="30"/>
          <w:szCs w:val="30"/>
          <w:highlight w:val="none"/>
          <w:lang w:val="en-US" w:eastAsia="zh-CN"/>
        </w:rPr>
        <w:fldChar w:fldCharType="separate"/>
      </w:r>
      <w:r>
        <w:rPr>
          <w:rStyle w:val="14"/>
          <w:rFonts w:hint="default" w:ascii="Times New Roman" w:hAnsi="Times New Roman" w:eastAsia="仿宋" w:cs="Times New Roman"/>
          <w:b w:val="0"/>
          <w:bCs w:val="0"/>
          <w:color w:val="auto"/>
          <w:kern w:val="2"/>
          <w:sz w:val="30"/>
          <w:szCs w:val="30"/>
          <w:highlight w:val="none"/>
          <w:lang w:val="en-US" w:eastAsia="zh-CN" w:bidi="ar-SA"/>
        </w:rPr>
        <w:t>https://zwykb.cq.gov.cn/v2/bszn.html?catalogId=bf9669db-de64-4720-9553-6910f4d9cc2f&amp;transactCode=&amp;record=istrue</w:t>
      </w:r>
      <w:r>
        <w:rPr>
          <w:rFonts w:hint="default" w:ascii="Times New Roman" w:hAnsi="Times New Roman" w:eastAsia="仿宋" w:cs="Times New Roman"/>
          <w:b w:val="0"/>
          <w:bCs w:val="0"/>
          <w:color w:val="auto"/>
          <w:sz w:val="30"/>
          <w:szCs w:val="30"/>
          <w:highlight w:val="none"/>
          <w:lang w:val="en-US" w:eastAsia="zh-CN"/>
        </w:rPr>
        <w:fldChar w:fldCharType="end"/>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right="0"/>
        <w:jc w:val="center"/>
        <w:textAlignment w:val="auto"/>
        <w:rPr>
          <w:rFonts w:hint="default" w:ascii="Times New Roman" w:hAnsi="Times New Roman" w:eastAsia="仿宋" w:cs="Times New Roman"/>
          <w:b w:val="0"/>
          <w:bCs w:val="0"/>
          <w:color w:val="auto"/>
          <w:sz w:val="30"/>
          <w:szCs w:val="30"/>
          <w:highlight w:val="none"/>
          <w:lang w:val="en-US" w:eastAsia="zh-CN"/>
        </w:rPr>
      </w:pPr>
      <w:r>
        <w:rPr>
          <w:b w:val="0"/>
          <w:bCs w:val="0"/>
          <w:color w:val="auto"/>
          <w:highlight w:val="none"/>
        </w:rPr>
        <w:drawing>
          <wp:inline distT="0" distB="0" distL="114300" distR="114300">
            <wp:extent cx="4319905" cy="2013585"/>
            <wp:effectExtent l="12700" t="12700" r="29845" b="31115"/>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15"/>
                    <a:stretch>
                      <a:fillRect/>
                    </a:stretch>
                  </pic:blipFill>
                  <pic:spPr>
                    <a:xfrm>
                      <a:off x="0" y="0"/>
                      <a:ext cx="4319905" cy="2013585"/>
                    </a:xfrm>
                    <a:prstGeom prst="rect">
                      <a:avLst/>
                    </a:prstGeom>
                    <a:noFill/>
                    <a:ln w="12700">
                      <a:solidFill>
                        <a:schemeClr val="tx1"/>
                      </a:solidFill>
                    </a:ln>
                  </pic:spPr>
                </pic:pic>
              </a:graphicData>
            </a:graphic>
          </wp:inline>
        </w:drawing>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（二）达标标准</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（1）产废单位核实一般工业固体废物利用/处置单位的主体资格和技术能力，在合同中载明了一般工业固体废物的转移、处置等信息，并约定了受托方的“处置报告”及“环境污染防治”义务；</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（2）产废单位按法律法规完成一般工业固体废物出重庆市区域贮存、处置或利用的转移手续。</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（三）注意事项</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受托方不具备利用处置技术能力需要转委托的，需明确转委托的具体要求。受托方代为找到第三方利用处置单位后，产生单位需核实第三方的主体资格和技术能力。受托方或第三方利用处置活动结束后，由受托方定期向委托方报告利用处置情况，至少1次/年。</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（四）法律依据</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val="en-US" w:eastAsia="en-US"/>
        </w:rPr>
        <w:t>《固废法》第三十七条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产生工业固体废物的单位委托他人运输、利用、处置工业固体废物的，应当对受托方的主体资格和技术能力进行核实，依法签订书面合同，在合同中约定污染防治要求</w:t>
      </w:r>
      <w:r>
        <w:rPr>
          <w:rFonts w:hint="eastAsia" w:ascii="方正仿宋_GBK" w:hAnsi="方正仿宋_GBK" w:eastAsia="方正仿宋_GBK" w:cs="方正仿宋_GBK"/>
          <w:b w:val="0"/>
          <w:bCs w:val="0"/>
          <w:color w:val="auto"/>
          <w:sz w:val="32"/>
          <w:szCs w:val="32"/>
          <w:highlight w:val="none"/>
          <w:lang w:val="en-US" w:eastAsia="zh-CN"/>
        </w:rPr>
        <w:t>；</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受托方运输、利用、处置工业固体废物，应当依照有关法律法规的规定和合同约定履行污染防治要求，并将运输、利用、处置情况告知产生工业固体废物的单位</w:t>
      </w:r>
      <w:r>
        <w:rPr>
          <w:rFonts w:hint="eastAsia" w:ascii="方正仿宋_GBK" w:hAnsi="方正仿宋_GBK" w:eastAsia="方正仿宋_GBK" w:cs="方正仿宋_GBK"/>
          <w:b w:val="0"/>
          <w:bCs w:val="0"/>
          <w:color w:val="auto"/>
          <w:sz w:val="32"/>
          <w:szCs w:val="32"/>
          <w:highlight w:val="none"/>
          <w:lang w:val="en-US" w:eastAsia="zh-CN"/>
        </w:rPr>
        <w:t>；</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产生工业固体废物的单位违反本条第一款规定的，除依照有关法律法规的规定予以处罚外，还应当与造成环境污染和生态破坏的受托方承担连带责任。</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《固废法》第二十二条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转移固体废物出省、自治区、直辖市行政区域贮存、处置的，应当向固体废物移出地的省、自治区、直辖市人民政府生态环境主管部门提出申请。移出地的省、自治区、直辖市人民政府生态环境主管部门应当及时商经接受地的省、自治区、直辖市人民政府生态环境主管部门同意后，在规定期限内批准转移该固体废物出省、自治区、直辖市行政区域。未经批准的，不得转移</w:t>
      </w:r>
      <w:r>
        <w:rPr>
          <w:rFonts w:hint="eastAsia" w:ascii="方正仿宋_GBK" w:hAnsi="方正仿宋_GBK" w:eastAsia="方正仿宋_GBK" w:cs="方正仿宋_GBK"/>
          <w:b w:val="0"/>
          <w:bCs w:val="0"/>
          <w:color w:val="auto"/>
          <w:sz w:val="32"/>
          <w:szCs w:val="32"/>
          <w:highlight w:val="none"/>
          <w:lang w:val="en-US" w:eastAsia="zh-CN"/>
        </w:rPr>
        <w:t>；</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转移固体废物出省、自治区、直辖市行政区域利用的，应当报固体废物移出地的省、自治区、直辖市人民政府生态环境主管部门备案。移出地的省、自治区、直辖市人民政府生态环境主管部门应当将备案信息通报接受地的省、自治区、直辖市人民政府生态环境主管部门。</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八、产生单位内部管理</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（一）评</w:t>
      </w:r>
      <w:r>
        <w:rPr>
          <w:rFonts w:hint="eastAsia" w:ascii="方正仿宋_GBK" w:hAnsi="方正仿宋_GBK" w:eastAsia="方正仿宋_GBK" w:cs="方正仿宋_GBK"/>
          <w:b w:val="0"/>
          <w:bCs w:val="0"/>
          <w:color w:val="auto"/>
          <w:sz w:val="32"/>
          <w:szCs w:val="32"/>
          <w:highlight w:val="none"/>
          <w:lang w:val="en-US" w:eastAsia="en-US"/>
        </w:rPr>
        <w:t>估要点</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en-US"/>
        </w:rPr>
        <w:t>（1）</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建立一般工业固体废物污染环境防治责任制度，明确责任部门及责任人员</w:t>
      </w:r>
      <w:r>
        <w:rPr>
          <w:rFonts w:hint="eastAsia" w:ascii="方正仿宋_GBK" w:hAnsi="方正仿宋_GBK" w:eastAsia="方正仿宋_GBK" w:cs="方正仿宋_GBK"/>
          <w:b w:val="0"/>
          <w:bCs w:val="0"/>
          <w:color w:val="auto"/>
          <w:sz w:val="32"/>
          <w:szCs w:val="32"/>
          <w:highlight w:val="none"/>
          <w:lang w:val="en-US" w:eastAsia="en-US"/>
        </w:rPr>
        <w:t>。</w:t>
      </w:r>
    </w:p>
    <w:p>
      <w:pPr>
        <w:pStyle w:val="12"/>
        <w:keepNext w:val="0"/>
        <w:keepLines w:val="0"/>
        <w:pageBreakBefore w:val="0"/>
        <w:widowControl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Autospacing="0" w:afterAutospacing="0" w:line="600" w:lineRule="atLeast"/>
        <w:ind w:left="0" w:right="0" w:firstLine="640" w:firstLineChars="200"/>
        <w:jc w:val="both"/>
        <w:textAlignment w:val="auto"/>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pPr>
      <w:r>
        <w:rPr>
          <w:rFonts w:hint="eastAsia" w:ascii="方正仿宋_GBK" w:hAnsi="方正仿宋_GBK" w:eastAsia="方正仿宋_GBK" w:cs="方正仿宋_GBK"/>
          <w:b w:val="0"/>
          <w:bCs w:val="0"/>
          <w:color w:val="auto"/>
          <w:sz w:val="32"/>
          <w:szCs w:val="32"/>
          <w:highlight w:val="none"/>
          <w:lang w:val="en-US" w:eastAsia="en-US"/>
        </w:rPr>
        <w:t>（2）</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安排固定人员负责一般工业固体废物材料档案管理，包括废物管理台账、委外运输/利用处置合同以及其他与一般工业固体废物污染防治相关材料；</w:t>
      </w:r>
    </w:p>
    <w:p>
      <w:pPr>
        <w:pStyle w:val="12"/>
        <w:keepNext w:val="0"/>
        <w:keepLines w:val="0"/>
        <w:pageBreakBefore w:val="0"/>
        <w:widowControl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Autospacing="0" w:afterAutospacing="0" w:line="600" w:lineRule="atLeast"/>
        <w:ind w:left="0" w:right="0" w:firstLine="640" w:firstLineChars="200"/>
        <w:jc w:val="both"/>
        <w:textAlignment w:val="auto"/>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pP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（3）对管理人员和从事一般工业固体废物收集、运输、贮存、利用和处置等工作的人员进行培训；</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（4）建立一般工业固体废物日常现场检查工作机制，明确日常检查内容、检查时间与频次、检查结果等，对发现的问题及时督促整改。</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en-US"/>
        </w:rPr>
        <w:t>（二）达标标准</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产废单位</w:t>
      </w:r>
      <w:r>
        <w:rPr>
          <w:rFonts w:hint="eastAsia" w:ascii="方正仿宋_GBK" w:hAnsi="方正仿宋_GBK" w:eastAsia="方正仿宋_GBK" w:cs="方正仿宋_GBK"/>
          <w:b w:val="0"/>
          <w:bCs w:val="0"/>
          <w:color w:val="auto"/>
          <w:sz w:val="32"/>
          <w:szCs w:val="32"/>
          <w:highlight w:val="none"/>
          <w:lang w:val="en-US" w:eastAsia="en-US"/>
        </w:rPr>
        <w:t>建立了责任制度，</w:t>
      </w:r>
      <w:r>
        <w:rPr>
          <w:rFonts w:hint="eastAsia" w:ascii="方正仿宋_GBK" w:hAnsi="方正仿宋_GBK" w:eastAsia="方正仿宋_GBK" w:cs="方正仿宋_GBK"/>
          <w:b w:val="0"/>
          <w:bCs w:val="0"/>
          <w:color w:val="auto"/>
          <w:sz w:val="32"/>
          <w:szCs w:val="32"/>
          <w:highlight w:val="none"/>
          <w:lang w:val="en-US" w:eastAsia="zh-CN"/>
        </w:rPr>
        <w:t>责任部门和责任</w:t>
      </w:r>
      <w:r>
        <w:rPr>
          <w:rFonts w:hint="eastAsia" w:ascii="方正仿宋_GBK" w:hAnsi="方正仿宋_GBK" w:eastAsia="方正仿宋_GBK" w:cs="方正仿宋_GBK"/>
          <w:b w:val="0"/>
          <w:bCs w:val="0"/>
          <w:color w:val="auto"/>
          <w:sz w:val="32"/>
          <w:szCs w:val="32"/>
          <w:highlight w:val="none"/>
          <w:lang w:val="en-US" w:eastAsia="en-US"/>
        </w:rPr>
        <w:t>人明确，责任清晰</w:t>
      </w:r>
      <w:r>
        <w:rPr>
          <w:rFonts w:hint="eastAsia" w:ascii="方正仿宋_GBK" w:hAnsi="方正仿宋_GBK" w:eastAsia="方正仿宋_GBK" w:cs="方正仿宋_GBK"/>
          <w:b w:val="0"/>
          <w:bCs w:val="0"/>
          <w:color w:val="auto"/>
          <w:sz w:val="32"/>
          <w:szCs w:val="32"/>
          <w:highlight w:val="none"/>
          <w:lang w:val="en-US" w:eastAsia="zh-CN"/>
        </w:rPr>
        <w:t>，责任</w:t>
      </w:r>
      <w:r>
        <w:rPr>
          <w:rFonts w:hint="eastAsia" w:ascii="方正仿宋_GBK" w:hAnsi="方正仿宋_GBK" w:eastAsia="方正仿宋_GBK" w:cs="方正仿宋_GBK"/>
          <w:b w:val="0"/>
          <w:bCs w:val="0"/>
          <w:color w:val="auto"/>
          <w:sz w:val="32"/>
          <w:szCs w:val="32"/>
          <w:highlight w:val="none"/>
          <w:lang w:val="en-US" w:eastAsia="en-US"/>
        </w:rPr>
        <w:t>人</w:t>
      </w:r>
      <w:r>
        <w:rPr>
          <w:rFonts w:hint="eastAsia" w:ascii="方正仿宋_GBK" w:hAnsi="方正仿宋_GBK" w:eastAsia="方正仿宋_GBK" w:cs="方正仿宋_GBK"/>
          <w:b w:val="0"/>
          <w:bCs w:val="0"/>
          <w:color w:val="auto"/>
          <w:sz w:val="32"/>
          <w:szCs w:val="32"/>
          <w:highlight w:val="none"/>
          <w:lang w:val="en-US" w:eastAsia="zh-CN"/>
        </w:rPr>
        <w:t>熟悉一般工业</w:t>
      </w:r>
      <w:r>
        <w:rPr>
          <w:rFonts w:hint="eastAsia" w:ascii="方正仿宋_GBK" w:hAnsi="方正仿宋_GBK" w:eastAsia="方正仿宋_GBK" w:cs="方正仿宋_GBK"/>
          <w:b w:val="0"/>
          <w:bCs w:val="0"/>
          <w:color w:val="auto"/>
          <w:sz w:val="32"/>
          <w:szCs w:val="32"/>
          <w:highlight w:val="none"/>
          <w:lang w:val="en-US" w:eastAsia="en-US"/>
        </w:rPr>
        <w:t>固体废物管理相关法规、制度、标准</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规范</w:t>
      </w:r>
      <w:r>
        <w:rPr>
          <w:rFonts w:hint="eastAsia" w:ascii="方正仿宋_GBK" w:hAnsi="方正仿宋_GBK" w:eastAsia="方正仿宋_GBK" w:cs="方正仿宋_GBK"/>
          <w:b w:val="0"/>
          <w:bCs w:val="0"/>
          <w:color w:val="auto"/>
          <w:sz w:val="32"/>
          <w:szCs w:val="32"/>
          <w:highlight w:val="none"/>
          <w:lang w:val="en-US" w:eastAsia="zh-CN"/>
        </w:rPr>
        <w:t>。</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产废单位建立了环境管理人员培训机制，且</w:t>
      </w:r>
      <w:r>
        <w:rPr>
          <w:rFonts w:hint="eastAsia" w:ascii="方正仿宋_GBK" w:hAnsi="方正仿宋_GBK" w:eastAsia="方正仿宋_GBK" w:cs="方正仿宋_GBK"/>
          <w:b w:val="0"/>
          <w:bCs w:val="0"/>
          <w:color w:val="auto"/>
          <w:sz w:val="32"/>
          <w:szCs w:val="32"/>
          <w:highlight w:val="none"/>
          <w:lang w:val="en-US" w:eastAsia="en-US"/>
        </w:rPr>
        <w:t>制度得到</w:t>
      </w:r>
      <w:r>
        <w:rPr>
          <w:rFonts w:hint="eastAsia" w:ascii="方正仿宋_GBK" w:hAnsi="方正仿宋_GBK" w:eastAsia="方正仿宋_GBK" w:cs="方正仿宋_GBK"/>
          <w:b w:val="0"/>
          <w:bCs w:val="0"/>
          <w:color w:val="auto"/>
          <w:sz w:val="32"/>
          <w:szCs w:val="32"/>
          <w:highlight w:val="none"/>
          <w:lang w:val="en-US" w:eastAsia="zh-CN"/>
        </w:rPr>
        <w:t>有效</w:t>
      </w:r>
      <w:r>
        <w:rPr>
          <w:rFonts w:hint="eastAsia" w:ascii="方正仿宋_GBK" w:hAnsi="方正仿宋_GBK" w:eastAsia="方正仿宋_GBK" w:cs="方正仿宋_GBK"/>
          <w:b w:val="0"/>
          <w:bCs w:val="0"/>
          <w:color w:val="auto"/>
          <w:sz w:val="32"/>
          <w:szCs w:val="32"/>
          <w:highlight w:val="none"/>
          <w:lang w:val="en-US" w:eastAsia="en-US"/>
        </w:rPr>
        <w:t>落实</w:t>
      </w:r>
      <w:r>
        <w:rPr>
          <w:rFonts w:hint="eastAsia" w:ascii="方正仿宋_GBK" w:hAnsi="方正仿宋_GBK" w:eastAsia="方正仿宋_GBK" w:cs="方正仿宋_GBK"/>
          <w:b w:val="0"/>
          <w:bCs w:val="0"/>
          <w:color w:val="auto"/>
          <w:sz w:val="32"/>
          <w:szCs w:val="32"/>
          <w:highlight w:val="none"/>
          <w:lang w:val="en-US" w:eastAsia="zh-CN"/>
        </w:rPr>
        <w:t>。</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（三）法律依据</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val="en-US" w:eastAsia="en-US"/>
        </w:rPr>
        <w:t>《固废法》第三十六条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r>
        <w:rPr>
          <w:rFonts w:hint="eastAsia" w:ascii="方正仿宋_GBK" w:hAnsi="方正仿宋_GBK" w:eastAsia="方正仿宋_GBK" w:cs="方正仿宋_GBK"/>
          <w:b w:val="0"/>
          <w:bCs w:val="0"/>
          <w:color w:val="auto"/>
          <w:sz w:val="32"/>
          <w:szCs w:val="32"/>
          <w:highlight w:val="none"/>
          <w:lang w:val="en-US" w:eastAsia="zh-CN"/>
        </w:rPr>
        <w:t>；</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《固废法》第十九条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收集、贮存、运输、利用、处置固体废物的单位和其他生产经营者，应当加强对相关设施、设备和场所的管理和维护，保证其正常运行和使用。</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九、信息公开制度</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（一）评估要点</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en-US"/>
        </w:rPr>
        <w:t>通过</w:t>
      </w:r>
      <w:r>
        <w:rPr>
          <w:rFonts w:hint="eastAsia" w:ascii="方正仿宋_GBK" w:hAnsi="方正仿宋_GBK" w:eastAsia="方正仿宋_GBK" w:cs="方正仿宋_GBK"/>
          <w:b w:val="0"/>
          <w:bCs w:val="0"/>
          <w:color w:val="auto"/>
          <w:sz w:val="32"/>
          <w:szCs w:val="32"/>
          <w:highlight w:val="none"/>
          <w:lang w:val="en-US" w:eastAsia="zh-CN"/>
        </w:rPr>
        <w:t>“重庆企业环境信息依法披露系统”“重庆市环境信用评价系统”、</w:t>
      </w:r>
      <w:r>
        <w:rPr>
          <w:rFonts w:hint="eastAsia" w:ascii="方正仿宋_GBK" w:hAnsi="方正仿宋_GBK" w:eastAsia="方正仿宋_GBK" w:cs="方正仿宋_GBK"/>
          <w:b w:val="0"/>
          <w:bCs w:val="0"/>
          <w:color w:val="auto"/>
          <w:sz w:val="32"/>
          <w:szCs w:val="32"/>
          <w:highlight w:val="none"/>
          <w:lang w:val="en-US" w:eastAsia="en-US"/>
        </w:rPr>
        <w:t>企业</w:t>
      </w:r>
      <w:r>
        <w:rPr>
          <w:rFonts w:hint="eastAsia" w:ascii="方正仿宋_GBK" w:hAnsi="方正仿宋_GBK" w:eastAsia="方正仿宋_GBK" w:cs="方正仿宋_GBK"/>
          <w:b w:val="0"/>
          <w:bCs w:val="0"/>
          <w:color w:val="auto"/>
          <w:sz w:val="32"/>
          <w:szCs w:val="32"/>
          <w:highlight w:val="none"/>
          <w:lang w:val="en-US" w:eastAsia="zh-CN"/>
        </w:rPr>
        <w:t>官网等公开网站，公众号或</w:t>
      </w:r>
      <w:r>
        <w:rPr>
          <w:rFonts w:hint="eastAsia" w:ascii="方正仿宋_GBK" w:hAnsi="方正仿宋_GBK" w:eastAsia="方正仿宋_GBK" w:cs="方正仿宋_GBK"/>
          <w:b w:val="0"/>
          <w:bCs w:val="0"/>
          <w:color w:val="auto"/>
          <w:sz w:val="32"/>
          <w:szCs w:val="32"/>
          <w:highlight w:val="none"/>
          <w:lang w:val="en-US" w:eastAsia="en-US"/>
        </w:rPr>
        <w:t>公告栏等途径，及时</w:t>
      </w:r>
      <w:r>
        <w:rPr>
          <w:rFonts w:hint="eastAsia" w:ascii="方正仿宋_GBK" w:hAnsi="方正仿宋_GBK" w:eastAsia="方正仿宋_GBK" w:cs="方正仿宋_GBK"/>
          <w:b w:val="0"/>
          <w:bCs w:val="0"/>
          <w:color w:val="auto"/>
          <w:sz w:val="32"/>
          <w:szCs w:val="32"/>
          <w:highlight w:val="none"/>
          <w:lang w:val="en-US" w:eastAsia="zh-CN"/>
        </w:rPr>
        <w:t>、准确</w:t>
      </w:r>
      <w:r>
        <w:rPr>
          <w:rFonts w:hint="eastAsia" w:ascii="方正仿宋_GBK" w:hAnsi="方正仿宋_GBK" w:eastAsia="方正仿宋_GBK" w:cs="方正仿宋_GBK"/>
          <w:b w:val="0"/>
          <w:bCs w:val="0"/>
          <w:color w:val="auto"/>
          <w:sz w:val="32"/>
          <w:szCs w:val="32"/>
          <w:highlight w:val="none"/>
          <w:lang w:val="en-US" w:eastAsia="en-US"/>
        </w:rPr>
        <w:t>公开一般工业固体废物产生、贮存、流向和利用处置等信息。</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1）重庆企业环境信息依法披露系统：</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00" w:firstLineChars="200"/>
        <w:jc w:val="both"/>
        <w:textAlignment w:val="auto"/>
        <w:rPr>
          <w:rFonts w:hint="default" w:ascii="Times New Roman" w:hAnsi="Times New Roman" w:eastAsia="仿宋" w:cs="Times New Roman"/>
          <w:b w:val="0"/>
          <w:bCs w:val="0"/>
          <w:color w:val="auto"/>
          <w:sz w:val="30"/>
          <w:szCs w:val="30"/>
          <w:highlight w:val="none"/>
          <w:lang w:val="en-US" w:eastAsia="en-US"/>
        </w:rPr>
      </w:pPr>
      <w:r>
        <w:rPr>
          <w:rFonts w:hint="default" w:ascii="Times New Roman" w:hAnsi="Times New Roman" w:eastAsia="仿宋" w:cs="Times New Roman"/>
          <w:b w:val="0"/>
          <w:bCs w:val="0"/>
          <w:color w:val="auto"/>
          <w:sz w:val="30"/>
          <w:szCs w:val="30"/>
          <w:highlight w:val="none"/>
          <w:lang w:val="en-US" w:eastAsia="en-US"/>
        </w:rPr>
        <w:fldChar w:fldCharType="begin"/>
      </w:r>
      <w:r>
        <w:rPr>
          <w:rFonts w:hint="default" w:ascii="Times New Roman" w:hAnsi="Times New Roman" w:eastAsia="仿宋" w:cs="Times New Roman"/>
          <w:b w:val="0"/>
          <w:bCs w:val="0"/>
          <w:color w:val="auto"/>
          <w:sz w:val="30"/>
          <w:szCs w:val="30"/>
          <w:highlight w:val="none"/>
          <w:lang w:val="en-US" w:eastAsia="en-US"/>
        </w:rPr>
        <w:instrText xml:space="preserve"> HYPERLINK "http://183.66.66.47:10001/eps/index/enterprise-search" </w:instrText>
      </w:r>
      <w:r>
        <w:rPr>
          <w:rFonts w:hint="default" w:ascii="Times New Roman" w:hAnsi="Times New Roman" w:eastAsia="仿宋" w:cs="Times New Roman"/>
          <w:b w:val="0"/>
          <w:bCs w:val="0"/>
          <w:color w:val="auto"/>
          <w:sz w:val="30"/>
          <w:szCs w:val="30"/>
          <w:highlight w:val="none"/>
          <w:lang w:val="en-US" w:eastAsia="en-US"/>
        </w:rPr>
        <w:fldChar w:fldCharType="separate"/>
      </w:r>
      <w:r>
        <w:rPr>
          <w:rStyle w:val="14"/>
          <w:rFonts w:hint="default" w:ascii="Times New Roman" w:hAnsi="Times New Roman" w:eastAsia="仿宋" w:cs="Times New Roman"/>
          <w:b w:val="0"/>
          <w:bCs w:val="0"/>
          <w:color w:val="auto"/>
          <w:kern w:val="2"/>
          <w:sz w:val="30"/>
          <w:szCs w:val="30"/>
          <w:highlight w:val="none"/>
          <w:lang w:val="en-US" w:eastAsia="en-US" w:bidi="ar-SA"/>
        </w:rPr>
        <w:t>http://183.66.66.47:10001/eps/index/enterprise-search</w:t>
      </w:r>
      <w:r>
        <w:rPr>
          <w:rFonts w:hint="default" w:ascii="Times New Roman" w:hAnsi="Times New Roman" w:eastAsia="仿宋" w:cs="Times New Roman"/>
          <w:b w:val="0"/>
          <w:bCs w:val="0"/>
          <w:color w:val="auto"/>
          <w:sz w:val="30"/>
          <w:szCs w:val="30"/>
          <w:highlight w:val="none"/>
          <w:lang w:val="en-US" w:eastAsia="en-US"/>
        </w:rPr>
        <w:fldChar w:fldCharType="end"/>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right="0"/>
        <w:jc w:val="center"/>
        <w:textAlignment w:val="auto"/>
        <w:rPr>
          <w:rFonts w:hint="default" w:ascii="Times New Roman" w:hAnsi="Times New Roman" w:eastAsia="仿宋" w:cs="Times New Roman"/>
          <w:b w:val="0"/>
          <w:bCs w:val="0"/>
          <w:snapToGrid w:val="0"/>
          <w:color w:val="auto"/>
          <w:spacing w:val="-5"/>
          <w:kern w:val="0"/>
          <w:sz w:val="21"/>
          <w:szCs w:val="21"/>
          <w:highlight w:val="none"/>
          <w:lang w:val="en-US" w:eastAsia="en-US" w:bidi="ar-SA"/>
          <w14:ligatures w14:val="standardContextual"/>
        </w:rPr>
      </w:pPr>
      <w:r>
        <w:rPr>
          <w:b w:val="0"/>
          <w:bCs w:val="0"/>
          <w:color w:val="auto"/>
          <w:highlight w:val="none"/>
        </w:rPr>
        <w:drawing>
          <wp:inline distT="0" distB="0" distL="114300" distR="114300">
            <wp:extent cx="4319905" cy="2720975"/>
            <wp:effectExtent l="12700" t="12700" r="29845" b="28575"/>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16"/>
                    <a:stretch>
                      <a:fillRect/>
                    </a:stretch>
                  </pic:blipFill>
                  <pic:spPr>
                    <a:xfrm>
                      <a:off x="0" y="0"/>
                      <a:ext cx="4319905" cy="2720975"/>
                    </a:xfrm>
                    <a:prstGeom prst="rect">
                      <a:avLst/>
                    </a:prstGeom>
                    <a:noFill/>
                    <a:ln w="12700">
                      <a:solidFill>
                        <a:schemeClr val="tx1"/>
                      </a:solidFill>
                    </a:ln>
                  </pic:spPr>
                </pic:pic>
              </a:graphicData>
            </a:graphic>
          </wp:inline>
        </w:drawing>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2）重庆市环境信用评价系统：</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00" w:firstLineChars="200"/>
        <w:jc w:val="both"/>
        <w:textAlignment w:val="auto"/>
        <w:rPr>
          <w:rFonts w:hint="default" w:ascii="Times New Roman" w:hAnsi="Times New Roman" w:eastAsia="仿宋" w:cs="Times New Roman"/>
          <w:b w:val="0"/>
          <w:bCs w:val="0"/>
          <w:color w:val="auto"/>
          <w:sz w:val="30"/>
          <w:szCs w:val="30"/>
          <w:highlight w:val="none"/>
          <w:lang w:val="en-US" w:eastAsia="en-US"/>
        </w:rPr>
      </w:pPr>
      <w:r>
        <w:rPr>
          <w:rFonts w:hint="default" w:ascii="Times New Roman" w:hAnsi="Times New Roman" w:eastAsia="仿宋" w:cs="Times New Roman"/>
          <w:b w:val="0"/>
          <w:bCs w:val="0"/>
          <w:color w:val="auto"/>
          <w:sz w:val="30"/>
          <w:szCs w:val="30"/>
          <w:highlight w:val="none"/>
          <w:lang w:val="en-US" w:eastAsia="en-US"/>
        </w:rPr>
        <w:fldChar w:fldCharType="begin"/>
      </w:r>
      <w:r>
        <w:rPr>
          <w:rFonts w:hint="default" w:ascii="Times New Roman" w:hAnsi="Times New Roman" w:eastAsia="仿宋" w:cs="Times New Roman"/>
          <w:b w:val="0"/>
          <w:bCs w:val="0"/>
          <w:color w:val="auto"/>
          <w:sz w:val="30"/>
          <w:szCs w:val="30"/>
          <w:highlight w:val="none"/>
          <w:lang w:val="en-US" w:eastAsia="en-US"/>
        </w:rPr>
        <w:instrText xml:space="preserve"> HYPERLINK "https://system.qyhjxypj.com/home/Sellerlogin/login.html" </w:instrText>
      </w:r>
      <w:r>
        <w:rPr>
          <w:rFonts w:hint="default" w:ascii="Times New Roman" w:hAnsi="Times New Roman" w:eastAsia="仿宋" w:cs="Times New Roman"/>
          <w:b w:val="0"/>
          <w:bCs w:val="0"/>
          <w:color w:val="auto"/>
          <w:sz w:val="30"/>
          <w:szCs w:val="30"/>
          <w:highlight w:val="none"/>
          <w:lang w:val="en-US" w:eastAsia="en-US"/>
        </w:rPr>
        <w:fldChar w:fldCharType="separate"/>
      </w:r>
      <w:r>
        <w:rPr>
          <w:rStyle w:val="14"/>
          <w:rFonts w:hint="default" w:ascii="Times New Roman" w:hAnsi="Times New Roman" w:eastAsia="仿宋" w:cs="Times New Roman"/>
          <w:b w:val="0"/>
          <w:bCs w:val="0"/>
          <w:color w:val="auto"/>
          <w:kern w:val="2"/>
          <w:sz w:val="30"/>
          <w:szCs w:val="30"/>
          <w:highlight w:val="none"/>
          <w:lang w:val="en-US" w:eastAsia="en-US" w:bidi="ar-SA"/>
        </w:rPr>
        <w:t>https://system.qyhjxypj.com/home/Sellerlogin/login.html</w:t>
      </w:r>
      <w:r>
        <w:rPr>
          <w:rFonts w:hint="default" w:ascii="Times New Roman" w:hAnsi="Times New Roman" w:eastAsia="仿宋" w:cs="Times New Roman"/>
          <w:b w:val="0"/>
          <w:bCs w:val="0"/>
          <w:color w:val="auto"/>
          <w:sz w:val="30"/>
          <w:szCs w:val="30"/>
          <w:highlight w:val="none"/>
          <w:lang w:val="en-US" w:eastAsia="en-US"/>
        </w:rPr>
        <w:fldChar w:fldCharType="end"/>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00" w:firstLineChars="200"/>
        <w:jc w:val="both"/>
        <w:textAlignment w:val="auto"/>
        <w:rPr>
          <w:rFonts w:hint="default" w:ascii="Times New Roman" w:hAnsi="Times New Roman" w:eastAsia="仿宋" w:cs="Times New Roman"/>
          <w:b w:val="0"/>
          <w:bCs w:val="0"/>
          <w:color w:val="auto"/>
          <w:sz w:val="30"/>
          <w:szCs w:val="30"/>
          <w:highlight w:val="none"/>
          <w:lang w:val="en-US" w:eastAsia="en-US"/>
        </w:rPr>
      </w:pP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right="0"/>
        <w:jc w:val="center"/>
        <w:textAlignment w:val="auto"/>
        <w:rPr>
          <w:rFonts w:hint="default" w:ascii="Times New Roman" w:hAnsi="Times New Roman" w:eastAsia="仿宋" w:cs="Times New Roman"/>
          <w:b w:val="0"/>
          <w:bCs w:val="0"/>
          <w:snapToGrid w:val="0"/>
          <w:color w:val="auto"/>
          <w:spacing w:val="-5"/>
          <w:kern w:val="0"/>
          <w:sz w:val="21"/>
          <w:szCs w:val="21"/>
          <w:highlight w:val="none"/>
          <w:lang w:val="en-US" w:eastAsia="en-US" w:bidi="ar-SA"/>
          <w14:ligatures w14:val="standardContextual"/>
        </w:rPr>
      </w:pPr>
      <w:r>
        <w:rPr>
          <w:b w:val="0"/>
          <w:bCs w:val="0"/>
          <w:color w:val="auto"/>
          <w:highlight w:val="none"/>
        </w:rPr>
        <w:drawing>
          <wp:inline distT="0" distB="0" distL="114300" distR="114300">
            <wp:extent cx="4319905" cy="2528570"/>
            <wp:effectExtent l="12700" t="12700" r="26035" b="1905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17"/>
                    <a:stretch>
                      <a:fillRect/>
                    </a:stretch>
                  </pic:blipFill>
                  <pic:spPr>
                    <a:xfrm>
                      <a:off x="0" y="0"/>
                      <a:ext cx="4319905" cy="2528570"/>
                    </a:xfrm>
                    <a:prstGeom prst="rect">
                      <a:avLst/>
                    </a:prstGeom>
                    <a:noFill/>
                    <a:ln w="12700">
                      <a:solidFill>
                        <a:schemeClr val="tx1"/>
                      </a:solidFill>
                    </a:ln>
                  </pic:spPr>
                </pic:pic>
              </a:graphicData>
            </a:graphic>
          </wp:inline>
        </w:drawing>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（二）达标标准</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产废单位按规定公开一般工业固体废物的</w:t>
      </w:r>
      <w:r>
        <w:rPr>
          <w:rFonts w:hint="eastAsia" w:ascii="方正仿宋_GBK" w:hAnsi="方正仿宋_GBK" w:eastAsia="方正仿宋_GBK" w:cs="方正仿宋_GBK"/>
          <w:b w:val="0"/>
          <w:bCs w:val="0"/>
          <w:color w:val="auto"/>
          <w:sz w:val="32"/>
          <w:szCs w:val="32"/>
          <w:highlight w:val="none"/>
          <w:lang w:val="en-US" w:eastAsia="en-US"/>
        </w:rPr>
        <w:t>产生、贮存、流向和利用处置等信息</w:t>
      </w:r>
      <w:r>
        <w:rPr>
          <w:rFonts w:hint="eastAsia" w:ascii="方正仿宋_GBK" w:hAnsi="方正仿宋_GBK" w:eastAsia="方正仿宋_GBK" w:cs="方正仿宋_GBK"/>
          <w:b w:val="0"/>
          <w:bCs w:val="0"/>
          <w:color w:val="auto"/>
          <w:sz w:val="32"/>
          <w:szCs w:val="32"/>
          <w:highlight w:val="none"/>
          <w:lang w:val="en-US" w:eastAsia="zh-CN"/>
        </w:rPr>
        <w:t>。</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（三）法律依据</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600" w:lineRule="atLeast"/>
        <w:ind w:left="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《固废法》第二十九条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产生、收集、贮存、运输、利用、处置固体废物的单位，应当依法及时公开固体废物污染环境防治信息，主动接受社会监督</w:t>
      </w:r>
      <w:r>
        <w:rPr>
          <w:rFonts w:hint="eastAsia" w:ascii="方正仿宋_GBK" w:hAnsi="方正仿宋_GBK" w:eastAsia="方正仿宋_GBK" w:cs="方正仿宋_GBK"/>
          <w:b w:val="0"/>
          <w:bCs w:val="0"/>
          <w:color w:val="auto"/>
          <w:sz w:val="32"/>
          <w:szCs w:val="32"/>
          <w:highlight w:val="none"/>
          <w:lang w:val="en-US" w:eastAsia="zh-CN"/>
        </w:rPr>
        <w:t>。</w:t>
      </w:r>
    </w:p>
    <w:p>
      <w:pPr>
        <w:keepNext w:val="0"/>
        <w:keepLines w:val="0"/>
        <w:pageBreakBefore w:val="0"/>
        <w:widowControl w:val="0"/>
        <w:kinsoku w:val="0"/>
        <w:wordWrap/>
        <w:overflowPunct/>
        <w:topLinePunct w:val="0"/>
        <w:autoSpaceDE/>
        <w:autoSpaceDN/>
        <w:bidi w:val="0"/>
        <w:adjustRightInd/>
        <w:snapToGrid w:val="0"/>
        <w:spacing w:before="157" w:beforeLines="50" w:after="313" w:afterLines="100" w:line="226" w:lineRule="auto"/>
        <w:ind w:left="74"/>
        <w:jc w:val="left"/>
        <w:textAlignment w:val="baseline"/>
        <w:rPr>
          <w:rFonts w:hint="default" w:ascii="Times New Roman" w:hAnsi="Times New Roman" w:eastAsia="黑体" w:cs="Times New Roman"/>
          <w:b w:val="0"/>
          <w:bCs w:val="0"/>
          <w:snapToGrid w:val="0"/>
          <w:color w:val="auto"/>
          <w:spacing w:val="-3"/>
          <w:kern w:val="0"/>
          <w:sz w:val="31"/>
          <w:szCs w:val="31"/>
          <w:highlight w:val="none"/>
          <w:lang w:eastAsia="en-US"/>
          <w14:ligatures w14:val="none"/>
        </w:rPr>
      </w:pPr>
    </w:p>
    <w:p>
      <w:pPr>
        <w:keepNext w:val="0"/>
        <w:keepLines w:val="0"/>
        <w:pageBreakBefore w:val="0"/>
        <w:widowControl w:val="0"/>
        <w:kinsoku w:val="0"/>
        <w:wordWrap/>
        <w:overflowPunct/>
        <w:topLinePunct w:val="0"/>
        <w:autoSpaceDE/>
        <w:autoSpaceDN/>
        <w:bidi w:val="0"/>
        <w:adjustRightInd/>
        <w:snapToGrid w:val="0"/>
        <w:spacing w:before="157" w:beforeLines="50" w:after="313" w:afterLines="100" w:line="226" w:lineRule="auto"/>
        <w:ind w:left="74"/>
        <w:jc w:val="left"/>
        <w:textAlignment w:val="baseline"/>
        <w:rPr>
          <w:rFonts w:hint="default" w:ascii="Times New Roman" w:hAnsi="Times New Roman" w:eastAsia="黑体" w:cs="Times New Roman"/>
          <w:b w:val="0"/>
          <w:bCs w:val="0"/>
          <w:snapToGrid w:val="0"/>
          <w:color w:val="auto"/>
          <w:spacing w:val="-3"/>
          <w:kern w:val="0"/>
          <w:sz w:val="31"/>
          <w:szCs w:val="31"/>
          <w:highlight w:val="none"/>
          <w:lang w:eastAsia="en-US"/>
          <w14:ligatures w14:val="none"/>
        </w:rPr>
        <w:sectPr>
          <w:pgSz w:w="11906" w:h="16838"/>
          <w:pgMar w:top="2098" w:right="1531" w:bottom="1984" w:left="1531" w:header="851" w:footer="1474" w:gutter="0"/>
          <w:paperSrc/>
          <w:pgBorders>
            <w:top w:val="none" w:sz="0" w:space="0"/>
            <w:left w:val="none" w:sz="0" w:space="0"/>
            <w:bottom w:val="none" w:sz="0" w:space="0"/>
            <w:right w:val="none" w:sz="0" w:space="0"/>
          </w:pgBorders>
          <w:pgNumType w:fmt="numberInDash"/>
          <w:cols w:space="0" w:num="1"/>
          <w:rtlGutter w:val="0"/>
          <w:docGrid w:type="lines" w:linePitch="315" w:charSpace="0"/>
        </w:sectPr>
      </w:pPr>
    </w:p>
    <w:p>
      <w:pPr>
        <w:keepNext w:val="0"/>
        <w:keepLines w:val="0"/>
        <w:pageBreakBefore w:val="0"/>
        <w:widowControl w:val="0"/>
        <w:kinsoku w:val="0"/>
        <w:wordWrap/>
        <w:overflowPunct/>
        <w:topLinePunct w:val="0"/>
        <w:autoSpaceDE/>
        <w:autoSpaceDN/>
        <w:bidi w:val="0"/>
        <w:adjustRightInd/>
        <w:snapToGrid w:val="0"/>
        <w:spacing w:before="157" w:beforeLines="50" w:after="313" w:afterLines="100" w:line="226" w:lineRule="auto"/>
        <w:ind w:left="74"/>
        <w:jc w:val="left"/>
        <w:textAlignment w:val="baseline"/>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附件4</w:t>
      </w:r>
    </w:p>
    <w:p>
      <w:pPr>
        <w:keepNext w:val="0"/>
        <w:keepLines w:val="0"/>
        <w:pageBreakBefore w:val="0"/>
        <w:widowControl w:val="0"/>
        <w:kinsoku w:val="0"/>
        <w:wordWrap/>
        <w:overflowPunct/>
        <w:topLinePunct w:val="0"/>
        <w:autoSpaceDE/>
        <w:autoSpaceDN/>
        <w:bidi w:val="0"/>
        <w:adjustRightInd/>
        <w:snapToGrid w:val="0"/>
        <w:spacing w:before="157" w:beforeLines="50" w:after="313" w:afterLines="100" w:line="226" w:lineRule="auto"/>
        <w:ind w:left="74"/>
        <w:jc w:val="center"/>
        <w:textAlignment w:val="baseline"/>
        <w:rPr>
          <w:rFonts w:hint="eastAsia" w:ascii="方正小标宋_GBK" w:hAnsi="方正小标宋_GBK" w:eastAsia="方正小标宋_GBK" w:cs="方正小标宋_GBK"/>
          <w:b w:val="0"/>
          <w:bCs w:val="0"/>
          <w:snapToGrid w:val="0"/>
          <w:color w:val="auto"/>
          <w:spacing w:val="-3"/>
          <w:kern w:val="0"/>
          <w:sz w:val="36"/>
          <w:szCs w:val="36"/>
          <w:highlight w:val="none"/>
          <w:lang w:val="en-US" w:eastAsia="zh-CN"/>
          <w14:ligatures w14:val="none"/>
        </w:rPr>
      </w:pPr>
      <w:r>
        <w:rPr>
          <w:rFonts w:hint="eastAsia" w:ascii="方正小标宋_GBK" w:hAnsi="方正小标宋_GBK" w:eastAsia="方正小标宋_GBK" w:cs="方正小标宋_GBK"/>
          <w:b w:val="0"/>
          <w:bCs w:val="0"/>
          <w:color w:val="auto"/>
          <w:sz w:val="36"/>
          <w:szCs w:val="36"/>
          <w:highlight w:val="none"/>
        </w:rPr>
        <w:t>一般工业固体废物</w:t>
      </w:r>
      <w:r>
        <w:rPr>
          <w:rFonts w:hint="eastAsia" w:ascii="方正小标宋_GBK" w:hAnsi="方正小标宋_GBK" w:eastAsia="方正小标宋_GBK" w:cs="方正小标宋_GBK"/>
          <w:b w:val="0"/>
          <w:bCs w:val="0"/>
          <w:color w:val="auto"/>
          <w:sz w:val="36"/>
          <w:szCs w:val="36"/>
          <w:highlight w:val="none"/>
          <w:lang w:val="en-US" w:eastAsia="zh-CN"/>
        </w:rPr>
        <w:t>台账管理要求及台账</w:t>
      </w:r>
      <w:r>
        <w:rPr>
          <w:rFonts w:hint="eastAsia" w:ascii="方正小标宋_GBK" w:hAnsi="方正小标宋_GBK" w:eastAsia="方正小标宋_GBK" w:cs="方正小标宋_GBK"/>
          <w:b w:val="0"/>
          <w:bCs w:val="0"/>
          <w:color w:val="auto"/>
          <w:sz w:val="36"/>
          <w:szCs w:val="36"/>
          <w:highlight w:val="none"/>
        </w:rPr>
        <w:t>记录</w:t>
      </w:r>
      <w:r>
        <w:rPr>
          <w:rFonts w:hint="eastAsia" w:ascii="方正小标宋_GBK" w:hAnsi="方正小标宋_GBK" w:eastAsia="方正小标宋_GBK" w:cs="方正小标宋_GBK"/>
          <w:b w:val="0"/>
          <w:bCs w:val="0"/>
          <w:color w:val="auto"/>
          <w:sz w:val="36"/>
          <w:szCs w:val="36"/>
          <w:highlight w:val="none"/>
          <w:lang w:val="en-US" w:eastAsia="zh-CN"/>
        </w:rPr>
        <w:t>表</w:t>
      </w:r>
      <w:r>
        <w:rPr>
          <w:rFonts w:hint="eastAsia" w:ascii="方正小标宋_GBK" w:hAnsi="方正小标宋_GBK" w:eastAsia="方正小标宋_GBK" w:cs="方正小标宋_GBK"/>
          <w:b w:val="0"/>
          <w:bCs w:val="0"/>
          <w:color w:val="auto"/>
          <w:sz w:val="36"/>
          <w:szCs w:val="36"/>
          <w:highlight w:val="none"/>
          <w:lang w:eastAsia="zh-CN"/>
        </w:rPr>
        <w:t>（</w:t>
      </w:r>
      <w:r>
        <w:rPr>
          <w:rFonts w:hint="eastAsia" w:ascii="方正小标宋_GBK" w:hAnsi="方正小标宋_GBK" w:eastAsia="方正小标宋_GBK" w:cs="方正小标宋_GBK"/>
          <w:b w:val="0"/>
          <w:bCs w:val="0"/>
          <w:color w:val="auto"/>
          <w:sz w:val="36"/>
          <w:szCs w:val="36"/>
          <w:highlight w:val="none"/>
        </w:rPr>
        <w:t>模板</w:t>
      </w:r>
      <w:r>
        <w:rPr>
          <w:rFonts w:hint="eastAsia" w:ascii="方正小标宋_GBK" w:hAnsi="方正小标宋_GBK" w:eastAsia="方正小标宋_GBK" w:cs="方正小标宋_GBK"/>
          <w:b w:val="0"/>
          <w:bCs w:val="0"/>
          <w:color w:val="auto"/>
          <w:sz w:val="36"/>
          <w:szCs w:val="36"/>
          <w:highlight w:val="none"/>
          <w:lang w:eastAsia="zh-CN"/>
        </w:rPr>
        <w:t>）</w:t>
      </w:r>
    </w:p>
    <w:p>
      <w:pPr>
        <w:keepNext w:val="0"/>
        <w:keepLines w:val="0"/>
        <w:widowControl w:val="0"/>
        <w:suppressLineNumbers w:val="0"/>
        <w:adjustRightInd/>
        <w:snapToGrid w:val="0"/>
        <w:spacing w:line="600" w:lineRule="atLeast"/>
        <w:ind w:firstLine="640" w:firstLineChars="200"/>
        <w:jc w:val="both"/>
        <w:rPr>
          <w:rFonts w:hint="eastAsia" w:ascii="方正仿宋_GBK" w:hAnsi="方正仿宋_GBK" w:eastAsia="方正仿宋_GBK" w:cs="方正仿宋_GBK"/>
          <w:b w:val="0"/>
          <w:bCs w:val="0"/>
          <w:color w:val="auto"/>
          <w:kern w:val="0"/>
          <w:sz w:val="32"/>
          <w:szCs w:val="32"/>
          <w:highlight w:val="none"/>
          <w:lang w:val="en-US" w:eastAsia="zh-CN" w:bidi="ar"/>
          <w14:ligatures w14:val="none"/>
        </w:rPr>
      </w:pP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一、台账管理要求</w:t>
      </w:r>
    </w:p>
    <w:p>
      <w:pPr>
        <w:keepNext w:val="0"/>
        <w:keepLines w:val="0"/>
        <w:pageBreakBefore w:val="0"/>
        <w:widowControl w:val="0"/>
        <w:suppressLineNumbers w:val="0"/>
        <w:kinsoku/>
        <w:wordWrap/>
        <w:overflowPunct/>
        <w:topLinePunct w:val="0"/>
        <w:autoSpaceDE/>
        <w:autoSpaceDN/>
        <w:bidi w:val="0"/>
        <w:adjustRightInd/>
        <w:snapToGrid w:val="0"/>
        <w:spacing w:line="600" w:lineRule="atLeast"/>
        <w:ind w:firstLine="640" w:firstLineChars="200"/>
        <w:jc w:val="both"/>
        <w:textAlignment w:val="auto"/>
        <w:rPr>
          <w:rFonts w:hint="eastAsia" w:ascii="方正仿宋_GBK" w:hAnsi="方正仿宋_GBK" w:eastAsia="方正仿宋_GBK" w:cs="方正仿宋_GBK"/>
          <w:b w:val="0"/>
          <w:bCs w:val="0"/>
          <w:color w:val="auto"/>
          <w:sz w:val="32"/>
          <w:szCs w:val="32"/>
          <w:highlight w:val="none"/>
          <w14:ligatures w14:val="none"/>
        </w:rPr>
      </w:pP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1、一般工业固体废物管理台账实施分级管理。附表1至附表3为必填信息，主要用于记录固体废物的基础信息及流向信息，所有产废单位均应当填写。附表1按年填写，应当结合环境影响评价、排污许可等材料，根据实际生产运营情况记录固体废物产生信息，生产工艺发生重大变动等原因导致固体废物产生种类等发生变化的，应当及时另行填写附表1；附表2按月填写，记录固体废物的产生、贮存、利用、处置数量和利用、处置方式等信息；附表3按批次填写，每一批次固体废物的出厂以及转移信息均应当如实记录；</w:t>
      </w:r>
    </w:p>
    <w:p>
      <w:pPr>
        <w:keepNext w:val="0"/>
        <w:keepLines w:val="0"/>
        <w:pageBreakBefore w:val="0"/>
        <w:widowControl w:val="0"/>
        <w:suppressLineNumbers w:val="0"/>
        <w:kinsoku/>
        <w:wordWrap/>
        <w:overflowPunct/>
        <w:topLinePunct w:val="0"/>
        <w:autoSpaceDE/>
        <w:autoSpaceDN/>
        <w:bidi w:val="0"/>
        <w:adjustRightInd/>
        <w:snapToGrid w:val="0"/>
        <w:spacing w:line="600" w:lineRule="atLeast"/>
        <w:ind w:firstLine="640" w:firstLineChars="200"/>
        <w:jc w:val="both"/>
        <w:textAlignment w:val="auto"/>
        <w:rPr>
          <w:rFonts w:hint="eastAsia" w:ascii="方正仿宋_GBK" w:hAnsi="方正仿宋_GBK" w:eastAsia="方正仿宋_GBK" w:cs="方正仿宋_GBK"/>
          <w:b w:val="0"/>
          <w:bCs w:val="0"/>
          <w:color w:val="auto"/>
          <w:sz w:val="32"/>
          <w:szCs w:val="32"/>
          <w:highlight w:val="none"/>
          <w14:ligatures w14:val="none"/>
        </w:rPr>
      </w:pP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2、附表4至附表7为选填信息，主要用于记录固体废物在产废单位内部的贮存、利用、处置等信息。附表4至附表7，根据地方及企业管理需要填写，省级生态环境主管部门可根据工作需要另行规定具体适用范围和记录要求。填写时应确保固体废物的来源信息、流向信息完整准确；根据固体废物产生周期，可按日或按班次、批次填写；</w:t>
      </w:r>
    </w:p>
    <w:p>
      <w:pPr>
        <w:keepNext w:val="0"/>
        <w:keepLines w:val="0"/>
        <w:pageBreakBefore w:val="0"/>
        <w:widowControl w:val="0"/>
        <w:suppressLineNumbers w:val="0"/>
        <w:kinsoku/>
        <w:wordWrap/>
        <w:overflowPunct/>
        <w:topLinePunct w:val="0"/>
        <w:autoSpaceDE/>
        <w:autoSpaceDN/>
        <w:bidi w:val="0"/>
        <w:adjustRightInd/>
        <w:snapToGrid w:val="0"/>
        <w:spacing w:line="600" w:lineRule="atLeast"/>
        <w:ind w:firstLine="640" w:firstLineChars="200"/>
        <w:jc w:val="both"/>
        <w:textAlignment w:val="auto"/>
        <w:rPr>
          <w:rFonts w:hint="eastAsia" w:ascii="方正仿宋_GBK" w:hAnsi="方正仿宋_GBK" w:eastAsia="方正仿宋_GBK" w:cs="方正仿宋_GBK"/>
          <w:b w:val="0"/>
          <w:bCs w:val="0"/>
          <w:color w:val="auto"/>
          <w:sz w:val="32"/>
          <w:szCs w:val="32"/>
          <w:highlight w:val="none"/>
          <w14:ligatures w14:val="none"/>
        </w:rPr>
      </w:pP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3、产废单位填写台账记录表时，应当根据自身固体废物产生情况，从</w:t>
      </w:r>
      <w:r>
        <w:rPr>
          <w:rFonts w:hint="eastAsia" w:ascii="方正仿宋_GBK" w:hAnsi="方正仿宋_GBK" w:eastAsia="方正仿宋_GBK" w:cs="方正仿宋_GBK"/>
          <w:b w:val="0"/>
          <w:bCs w:val="0"/>
          <w:color w:val="auto"/>
          <w:sz w:val="32"/>
          <w:szCs w:val="32"/>
          <w:highlight w:val="none"/>
          <w:lang w:val="en-US" w:eastAsia="zh-CN"/>
          <w14:ligatures w14:val="none"/>
        </w:rPr>
        <w:t>《固体废物分类与代码目录》（生态环境部公告2024年第4号）</w:t>
      </w: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中选择对应的固体废物种类和代码，并根据固体废物种类确定固体废物的具体名称；</w:t>
      </w:r>
    </w:p>
    <w:p>
      <w:pPr>
        <w:keepNext w:val="0"/>
        <w:keepLines w:val="0"/>
        <w:pageBreakBefore w:val="0"/>
        <w:widowControl w:val="0"/>
        <w:suppressLineNumbers w:val="0"/>
        <w:kinsoku/>
        <w:wordWrap/>
        <w:overflowPunct/>
        <w:topLinePunct w:val="0"/>
        <w:autoSpaceDE/>
        <w:autoSpaceDN/>
        <w:bidi w:val="0"/>
        <w:adjustRightInd/>
        <w:snapToGrid w:val="0"/>
        <w:spacing w:line="600" w:lineRule="atLeast"/>
        <w:ind w:firstLine="640" w:firstLineChars="200"/>
        <w:jc w:val="both"/>
        <w:textAlignment w:val="auto"/>
        <w:rPr>
          <w:rFonts w:hint="eastAsia" w:ascii="方正仿宋_GBK" w:hAnsi="方正仿宋_GBK" w:eastAsia="方正仿宋_GBK" w:cs="方正仿宋_GBK"/>
          <w:b w:val="0"/>
          <w:bCs w:val="0"/>
          <w:color w:val="auto"/>
          <w:kern w:val="0"/>
          <w:sz w:val="32"/>
          <w:szCs w:val="32"/>
          <w:highlight w:val="none"/>
          <w:lang w:val="en-US" w:eastAsia="zh-CN" w:bidi="ar"/>
          <w14:ligatures w14:val="none"/>
        </w:rPr>
      </w:pP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4、产废单位根据自身行业相关要求，应完整、准确记录纸质台账。同时，还应采用国家建立的一般工业固体废物管理电子台账，且地方和企业自行开发的电子台账要实现与国家系统对接。电子台账所载数据应与纸质台账一致；</w:t>
      </w:r>
    </w:p>
    <w:p>
      <w:pPr>
        <w:keepNext w:val="0"/>
        <w:keepLines w:val="0"/>
        <w:pageBreakBefore w:val="0"/>
        <w:widowControl w:val="0"/>
        <w:suppressLineNumbers w:val="0"/>
        <w:kinsoku/>
        <w:wordWrap/>
        <w:overflowPunct/>
        <w:topLinePunct w:val="0"/>
        <w:autoSpaceDE/>
        <w:autoSpaceDN/>
        <w:bidi w:val="0"/>
        <w:adjustRightInd/>
        <w:snapToGrid w:val="0"/>
        <w:spacing w:line="600" w:lineRule="atLeast"/>
        <w:ind w:firstLine="640" w:firstLineChars="200"/>
        <w:jc w:val="both"/>
        <w:textAlignment w:val="auto"/>
        <w:rPr>
          <w:rFonts w:hint="eastAsia" w:ascii="方正仿宋_GBK" w:hAnsi="方正仿宋_GBK" w:eastAsia="方正仿宋_GBK" w:cs="方正仿宋_GBK"/>
          <w:b w:val="0"/>
          <w:bCs w:val="0"/>
          <w:color w:val="auto"/>
          <w:sz w:val="32"/>
          <w:szCs w:val="32"/>
          <w:highlight w:val="none"/>
          <w14:ligatures w14:val="none"/>
        </w:rPr>
      </w:pP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5、台账记录表各表单的负责人对记录信息的真实性、完整性和规范性负责；</w:t>
      </w:r>
    </w:p>
    <w:p>
      <w:pPr>
        <w:keepNext w:val="0"/>
        <w:keepLines w:val="0"/>
        <w:pageBreakBefore w:val="0"/>
        <w:widowControl w:val="0"/>
        <w:suppressLineNumbers w:val="0"/>
        <w:kinsoku/>
        <w:wordWrap/>
        <w:overflowPunct/>
        <w:topLinePunct w:val="0"/>
        <w:autoSpaceDE/>
        <w:autoSpaceDN/>
        <w:bidi w:val="0"/>
        <w:adjustRightInd/>
        <w:snapToGrid w:val="0"/>
        <w:spacing w:line="600" w:lineRule="atLeast"/>
        <w:ind w:firstLine="640" w:firstLineChars="200"/>
        <w:jc w:val="both"/>
        <w:textAlignment w:val="auto"/>
        <w:rPr>
          <w:rFonts w:hint="eastAsia" w:ascii="方正仿宋_GBK" w:hAnsi="方正仿宋_GBK" w:eastAsia="方正仿宋_GBK" w:cs="方正仿宋_GBK"/>
          <w:b w:val="0"/>
          <w:bCs w:val="0"/>
          <w:color w:val="auto"/>
          <w:sz w:val="32"/>
          <w:szCs w:val="32"/>
          <w:highlight w:val="none"/>
          <w14:ligatures w14:val="none"/>
        </w:rPr>
      </w:pP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6、产废单位应当设立专人负责台账的管理与归档，一般工业固体废物管理台账保存期限不少于5年；</w:t>
      </w:r>
    </w:p>
    <w:p>
      <w:pPr>
        <w:keepNext w:val="0"/>
        <w:keepLines w:val="0"/>
        <w:pageBreakBefore w:val="0"/>
        <w:widowControl w:val="0"/>
        <w:suppressLineNumbers w:val="0"/>
        <w:kinsoku/>
        <w:wordWrap/>
        <w:overflowPunct/>
        <w:topLinePunct w:val="0"/>
        <w:autoSpaceDE/>
        <w:autoSpaceDN/>
        <w:bidi w:val="0"/>
        <w:adjustRightInd/>
        <w:snapToGrid w:val="0"/>
        <w:spacing w:line="600" w:lineRule="atLeast"/>
        <w:ind w:firstLine="640" w:firstLineChars="200"/>
        <w:jc w:val="both"/>
        <w:textAlignment w:val="auto"/>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7、鼓励有条件的产废单位在固体废物产生场所、贮存场所及磅</w:t>
      </w:r>
      <w:r>
        <w:rPr>
          <w:rFonts w:hint="eastAsia" w:ascii="方正仿宋_GBK" w:hAnsi="方正仿宋_GBK" w:eastAsia="方正仿宋_GBK" w:cs="方正仿宋_GBK"/>
          <w:b w:val="0"/>
          <w:bCs w:val="0"/>
          <w:color w:val="auto"/>
          <w:kern w:val="0"/>
          <w:sz w:val="32"/>
          <w:szCs w:val="32"/>
          <w:highlight w:val="none"/>
          <w:lang w:val="en-US" w:eastAsia="zh-CN" w:bidi="ar"/>
        </w:rPr>
        <w:t>秤位置等关键点位设</w:t>
      </w: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置视频监控，提高台账记录信息的准确性。</w:t>
      </w:r>
    </w:p>
    <w:p>
      <w:pPr>
        <w:keepNext w:val="0"/>
        <w:keepLines w:val="0"/>
        <w:widowControl w:val="0"/>
        <w:suppressLineNumbers w:val="0"/>
        <w:adjustRightInd/>
        <w:snapToGrid w:val="0"/>
        <w:jc w:val="both"/>
        <w:rPr>
          <w:rFonts w:hint="eastAsia" w:ascii="方正仿宋_GBK" w:hAnsi="方正仿宋_GBK" w:eastAsia="方正仿宋_GBK" w:cs="方正仿宋_GBK"/>
          <w:b w:val="0"/>
          <w:bCs w:val="0"/>
          <w:color w:val="auto"/>
          <w:kern w:val="0"/>
          <w:sz w:val="32"/>
          <w:szCs w:val="32"/>
          <w:highlight w:val="none"/>
          <w:lang w:val="en-US" w:eastAsia="zh-CN" w:bidi="ar"/>
        </w:rPr>
      </w:pPr>
    </w:p>
    <w:p>
      <w:pPr>
        <w:keepNext w:val="0"/>
        <w:keepLines w:val="0"/>
        <w:widowControl w:val="0"/>
        <w:suppressLineNumbers w:val="0"/>
        <w:adjustRightInd/>
        <w:snapToGrid w:val="0"/>
        <w:jc w:val="both"/>
        <w:rPr>
          <w:rFonts w:hint="eastAsia" w:ascii="方正仿宋_GBK" w:hAnsi="方正仿宋_GBK" w:eastAsia="方正仿宋_GBK" w:cs="方正仿宋_GBK"/>
          <w:b w:val="0"/>
          <w:bCs w:val="0"/>
          <w:color w:val="auto"/>
          <w:kern w:val="0"/>
          <w:sz w:val="32"/>
          <w:szCs w:val="32"/>
          <w:highlight w:val="none"/>
          <w:lang w:val="en-US" w:eastAsia="zh-CN" w:bidi="ar"/>
        </w:rPr>
        <w:sectPr>
          <w:pgSz w:w="11906" w:h="16838"/>
          <w:pgMar w:top="2098" w:right="1531" w:bottom="1984" w:left="1531" w:header="851" w:footer="1474" w:gutter="0"/>
          <w:paperSrc/>
          <w:pgBorders>
            <w:top w:val="none" w:sz="0" w:space="0"/>
            <w:left w:val="none" w:sz="0" w:space="0"/>
            <w:bottom w:val="none" w:sz="0" w:space="0"/>
            <w:right w:val="none" w:sz="0" w:space="0"/>
          </w:pgBorders>
          <w:pgNumType w:fmt="numberInDash"/>
          <w:cols w:space="0" w:num="1"/>
          <w:rtlGutter w:val="0"/>
          <w:docGrid w:type="lines" w:linePitch="315" w:charSpace="0"/>
        </w:sectPr>
      </w:pPr>
    </w:p>
    <w:p>
      <w:pPr>
        <w:keepNext w:val="0"/>
        <w:keepLines w:val="0"/>
        <w:widowControl w:val="0"/>
        <w:suppressLineNumbers w:val="0"/>
        <w:adjustRightInd/>
        <w:snapToGrid w:val="0"/>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二、台账记录表（模板）</w:t>
      </w:r>
    </w:p>
    <w:p>
      <w:pPr>
        <w:keepNext w:val="0"/>
        <w:keepLines w:val="0"/>
        <w:widowControl w:val="0"/>
        <w:suppressLineNumbers w:val="0"/>
        <w:adjustRightInd/>
        <w:snapToGrid w:val="0"/>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附表1（必填）</w:t>
      </w:r>
    </w:p>
    <w:p>
      <w:pPr>
        <w:adjustRightInd/>
        <w:snapToGrid w:val="0"/>
        <w:spacing w:line="560" w:lineRule="exact"/>
        <w:ind w:firstLine="640" w:firstLineChars="200"/>
        <w:jc w:val="center"/>
        <w:rPr>
          <w:rFonts w:hint="eastAsia" w:ascii="方正小标宋_GBK" w:hAnsi="方正小标宋_GBK" w:eastAsia="方正小标宋_GBK" w:cs="方正小标宋_GBK"/>
          <w:b w:val="0"/>
          <w:bCs w:val="0"/>
          <w:color w:val="auto"/>
          <w:sz w:val="32"/>
          <w:szCs w:val="32"/>
          <w:highlight w:val="none"/>
        </w:rPr>
      </w:pPr>
      <w:r>
        <w:rPr>
          <w:rFonts w:hint="eastAsia" w:ascii="方正小标宋_GBK" w:hAnsi="方正小标宋_GBK" w:eastAsia="方正小标宋_GBK" w:cs="方正小标宋_GBK"/>
          <w:b w:val="0"/>
          <w:bCs w:val="0"/>
          <w:color w:val="auto"/>
          <w:sz w:val="32"/>
          <w:szCs w:val="32"/>
          <w:highlight w:val="none"/>
        </w:rPr>
        <w:t>一般工业固体废物产生清单（</w:t>
      </w:r>
      <w:r>
        <w:rPr>
          <w:rFonts w:hint="eastAsia" w:ascii="方正小标宋_GBK" w:hAnsi="方正小标宋_GBK" w:eastAsia="方正小标宋_GBK" w:cs="方正小标宋_GBK"/>
          <w:b w:val="0"/>
          <w:bCs w:val="0"/>
          <w:color w:val="auto"/>
          <w:sz w:val="32"/>
          <w:szCs w:val="32"/>
          <w:highlight w:val="none"/>
          <w:lang w:val="en-US" w:eastAsia="zh-CN"/>
        </w:rPr>
        <w:t xml:space="preserve">        </w:t>
      </w:r>
      <w:r>
        <w:rPr>
          <w:rFonts w:hint="eastAsia" w:ascii="方正小标宋_GBK" w:hAnsi="方正小标宋_GBK" w:eastAsia="方正小标宋_GBK" w:cs="方正小标宋_GBK"/>
          <w:b w:val="0"/>
          <w:bCs w:val="0"/>
          <w:color w:val="auto"/>
          <w:sz w:val="32"/>
          <w:szCs w:val="32"/>
          <w:highlight w:val="none"/>
        </w:rPr>
        <w:t>年度）</w:t>
      </w:r>
    </w:p>
    <w:p>
      <w:pPr>
        <w:adjustRightInd/>
        <w:snapToGrid w:val="0"/>
        <w:spacing w:line="560" w:lineRule="exact"/>
        <w:ind w:firstLine="640" w:firstLineChars="200"/>
        <w:jc w:val="center"/>
        <w:rPr>
          <w:rFonts w:ascii="Times New Roman" w:hAnsi="Times New Roman" w:eastAsia="黑体" w:cs="Times New Roman"/>
          <w:b w:val="0"/>
          <w:bCs w:val="0"/>
          <w:color w:val="auto"/>
          <w:sz w:val="32"/>
          <w:szCs w:val="32"/>
          <w:highlight w:val="none"/>
        </w:rPr>
      </w:pP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4"/>
          <w:highlight w:val="none"/>
          <w:lang w:bidi="ar"/>
        </w:rPr>
        <w:t xml:space="preserve">负责人签字：            </w:t>
      </w:r>
      <w:r>
        <w:rPr>
          <w:rFonts w:hint="eastAsia" w:ascii="方正仿宋_GBK" w:hAnsi="方正仿宋_GBK" w:eastAsia="方正仿宋_GBK" w:cs="方正仿宋_GBK"/>
          <w:b w:val="0"/>
          <w:bCs w:val="0"/>
          <w:color w:val="auto"/>
          <w:kern w:val="0"/>
          <w:szCs w:val="24"/>
          <w:highlight w:val="none"/>
          <w:lang w:val="en-US" w:eastAsia="zh-CN" w:bidi="ar"/>
        </w:rPr>
        <w:t xml:space="preserve">                                                </w:t>
      </w:r>
      <w:r>
        <w:rPr>
          <w:rFonts w:hint="eastAsia" w:ascii="方正仿宋_GBK" w:hAnsi="方正仿宋_GBK" w:eastAsia="方正仿宋_GBK" w:cs="方正仿宋_GBK"/>
          <w:b w:val="0"/>
          <w:bCs w:val="0"/>
          <w:color w:val="auto"/>
          <w:kern w:val="0"/>
          <w:szCs w:val="24"/>
          <w:highlight w:val="none"/>
          <w:lang w:bidi="ar"/>
        </w:rPr>
        <w:t xml:space="preserve">                  填表人签字：             </w:t>
      </w:r>
      <w:r>
        <w:rPr>
          <w:rFonts w:hint="eastAsia" w:ascii="方正仿宋_GBK" w:hAnsi="方正仿宋_GBK" w:eastAsia="方正仿宋_GBK" w:cs="方正仿宋_GBK"/>
          <w:b w:val="0"/>
          <w:bCs w:val="0"/>
          <w:color w:val="auto"/>
          <w:kern w:val="0"/>
          <w:szCs w:val="24"/>
          <w:highlight w:val="none"/>
          <w:lang w:val="en-US" w:eastAsia="zh-CN" w:bidi="ar"/>
        </w:rPr>
        <w:t xml:space="preserve">                                                         </w:t>
      </w:r>
      <w:r>
        <w:rPr>
          <w:rFonts w:hint="eastAsia" w:ascii="方正仿宋_GBK" w:hAnsi="方正仿宋_GBK" w:eastAsia="方正仿宋_GBK" w:cs="方正仿宋_GBK"/>
          <w:b w:val="0"/>
          <w:bCs w:val="0"/>
          <w:color w:val="auto"/>
          <w:kern w:val="0"/>
          <w:szCs w:val="24"/>
          <w:highlight w:val="none"/>
          <w:lang w:bidi="ar"/>
        </w:rPr>
        <w:t xml:space="preserve">       填表日期：</w:t>
      </w:r>
    </w:p>
    <w:tbl>
      <w:tblPr>
        <w:tblStyle w:val="18"/>
        <w:tblpPr w:leftFromText="180" w:rightFromText="180" w:vertAnchor="text" w:horzAnchor="page" w:tblpXSpec="center" w:tblpY="99"/>
        <w:tblOverlap w:val="never"/>
        <w:tblW w:w="127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876"/>
        <w:gridCol w:w="1617"/>
        <w:gridCol w:w="1360"/>
        <w:gridCol w:w="1092"/>
        <w:gridCol w:w="1327"/>
        <w:gridCol w:w="1100"/>
        <w:gridCol w:w="1255"/>
        <w:gridCol w:w="1118"/>
        <w:gridCol w:w="2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860"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序号</w:t>
            </w:r>
          </w:p>
        </w:tc>
        <w:tc>
          <w:tcPr>
            <w:tcW w:w="876"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Cs w:val="21"/>
                <w:highlight w:val="none"/>
                <w14:ligatures w14:val="none"/>
              </w:rPr>
            </w:pPr>
            <w:r>
              <w:rPr>
                <w:rFonts w:hint="eastAsia" w:ascii="方正仿宋_GBK" w:hAnsi="方正仿宋_GBK" w:eastAsia="方正仿宋_GBK" w:cs="方正仿宋_GBK"/>
                <w:b w:val="0"/>
                <w:bCs w:val="0"/>
                <w:color w:val="auto"/>
                <w:kern w:val="0"/>
                <w:szCs w:val="21"/>
                <w:highlight w:val="none"/>
                <w:lang w:val="en-US" w:eastAsia="zh-CN"/>
                <w14:ligatures w14:val="none"/>
              </w:rPr>
              <w:t>种类</w:t>
            </w:r>
          </w:p>
        </w:tc>
        <w:tc>
          <w:tcPr>
            <w:tcW w:w="1617"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代码</w:t>
            </w:r>
          </w:p>
        </w:tc>
        <w:tc>
          <w:tcPr>
            <w:tcW w:w="1360"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名称</w:t>
            </w:r>
          </w:p>
        </w:tc>
        <w:tc>
          <w:tcPr>
            <w:tcW w:w="1092"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类别</w:t>
            </w:r>
          </w:p>
        </w:tc>
        <w:tc>
          <w:tcPr>
            <w:tcW w:w="1327"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产生环节</w:t>
            </w:r>
          </w:p>
        </w:tc>
        <w:tc>
          <w:tcPr>
            <w:tcW w:w="1100"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物理性状</w:t>
            </w:r>
          </w:p>
        </w:tc>
        <w:tc>
          <w:tcPr>
            <w:tcW w:w="1255"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主要成分</w:t>
            </w:r>
          </w:p>
        </w:tc>
        <w:tc>
          <w:tcPr>
            <w:tcW w:w="1118"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污染特性</w:t>
            </w:r>
          </w:p>
        </w:tc>
        <w:tc>
          <w:tcPr>
            <w:tcW w:w="2113"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产废系数/年产生量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86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Cs w:val="21"/>
                <w:highlight w:val="none"/>
                <w:lang w:val="en-US" w:eastAsia="zh-CN" w:bidi="ar"/>
                <w14:ligatures w14:val="none"/>
              </w:rPr>
            </w:pPr>
            <w:r>
              <w:rPr>
                <w:rFonts w:hint="eastAsia" w:ascii="方正仿宋_GBK" w:hAnsi="方正仿宋_GBK" w:eastAsia="方正仿宋_GBK" w:cs="方正仿宋_GBK"/>
                <w:b w:val="0"/>
                <w:bCs w:val="0"/>
                <w:color w:val="auto"/>
                <w:kern w:val="0"/>
                <w:szCs w:val="21"/>
                <w:highlight w:val="none"/>
                <w:lang w:val="en-US" w:eastAsia="zh-CN" w:bidi="ar"/>
                <w14:ligatures w14:val="none"/>
              </w:rPr>
              <w:t>1</w:t>
            </w:r>
          </w:p>
        </w:tc>
        <w:tc>
          <w:tcPr>
            <w:tcW w:w="87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Cs w:val="21"/>
                <w:highlight w:val="none"/>
                <w:lang w:bidi="ar"/>
                <w14:ligatures w14:val="none"/>
              </w:rPr>
            </w:pPr>
          </w:p>
        </w:tc>
        <w:tc>
          <w:tcPr>
            <w:tcW w:w="1617"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Cs w:val="21"/>
                <w:highlight w:val="none"/>
                <w:lang w:bidi="ar"/>
                <w14:ligatures w14:val="none"/>
              </w:rPr>
            </w:pPr>
          </w:p>
        </w:tc>
        <w:tc>
          <w:tcPr>
            <w:tcW w:w="136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Cs w:val="21"/>
                <w:highlight w:val="none"/>
                <w:lang w:bidi="ar"/>
                <w14:ligatures w14:val="none"/>
              </w:rPr>
            </w:pPr>
          </w:p>
        </w:tc>
        <w:tc>
          <w:tcPr>
            <w:tcW w:w="1092"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Cs w:val="21"/>
                <w:highlight w:val="none"/>
                <w:lang w:bidi="ar"/>
                <w14:ligatures w14:val="none"/>
              </w:rPr>
            </w:pPr>
          </w:p>
        </w:tc>
        <w:tc>
          <w:tcPr>
            <w:tcW w:w="1327"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Cs w:val="21"/>
                <w:highlight w:val="none"/>
                <w:lang w:bidi="ar"/>
                <w14:ligatures w14:val="none"/>
              </w:rPr>
            </w:pPr>
          </w:p>
        </w:tc>
        <w:tc>
          <w:tcPr>
            <w:tcW w:w="110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Cs w:val="21"/>
                <w:highlight w:val="none"/>
                <w:lang w:bidi="ar"/>
                <w14:ligatures w14:val="none"/>
              </w:rPr>
            </w:pPr>
          </w:p>
        </w:tc>
        <w:tc>
          <w:tcPr>
            <w:tcW w:w="1255"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Cs w:val="21"/>
                <w:highlight w:val="none"/>
                <w:lang w:bidi="ar"/>
                <w14:ligatures w14:val="none"/>
              </w:rPr>
            </w:pPr>
          </w:p>
        </w:tc>
        <w:tc>
          <w:tcPr>
            <w:tcW w:w="1118"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Cs w:val="21"/>
                <w:highlight w:val="none"/>
                <w:lang w:bidi="ar"/>
                <w14:ligatures w14:val="none"/>
              </w:rPr>
            </w:pPr>
          </w:p>
        </w:tc>
        <w:tc>
          <w:tcPr>
            <w:tcW w:w="2113"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86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Cs w:val="21"/>
                <w:highlight w:val="none"/>
                <w:lang w:val="en-US" w:eastAsia="zh-CN" w:bidi="ar"/>
                <w14:ligatures w14:val="none"/>
              </w:rPr>
            </w:pPr>
            <w:r>
              <w:rPr>
                <w:rFonts w:hint="eastAsia" w:ascii="方正仿宋_GBK" w:hAnsi="方正仿宋_GBK" w:eastAsia="方正仿宋_GBK" w:cs="方正仿宋_GBK"/>
                <w:b w:val="0"/>
                <w:bCs w:val="0"/>
                <w:color w:val="auto"/>
                <w:kern w:val="0"/>
                <w:szCs w:val="21"/>
                <w:highlight w:val="none"/>
                <w:lang w:val="en-US" w:eastAsia="zh-CN" w:bidi="ar"/>
                <w14:ligatures w14:val="none"/>
              </w:rPr>
              <w:t>2</w:t>
            </w:r>
          </w:p>
        </w:tc>
        <w:tc>
          <w:tcPr>
            <w:tcW w:w="87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Cs w:val="21"/>
                <w:highlight w:val="none"/>
                <w:lang w:bidi="ar"/>
                <w14:ligatures w14:val="none"/>
              </w:rPr>
            </w:pPr>
          </w:p>
        </w:tc>
        <w:tc>
          <w:tcPr>
            <w:tcW w:w="1617"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Cs w:val="21"/>
                <w:highlight w:val="none"/>
                <w:lang w:bidi="ar"/>
                <w14:ligatures w14:val="none"/>
              </w:rPr>
            </w:pPr>
          </w:p>
        </w:tc>
        <w:tc>
          <w:tcPr>
            <w:tcW w:w="136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Cs w:val="21"/>
                <w:highlight w:val="none"/>
                <w:lang w:bidi="ar"/>
                <w14:ligatures w14:val="none"/>
              </w:rPr>
            </w:pPr>
          </w:p>
        </w:tc>
        <w:tc>
          <w:tcPr>
            <w:tcW w:w="1092"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Cs w:val="21"/>
                <w:highlight w:val="none"/>
                <w:lang w:bidi="ar"/>
                <w14:ligatures w14:val="none"/>
              </w:rPr>
            </w:pPr>
          </w:p>
        </w:tc>
        <w:tc>
          <w:tcPr>
            <w:tcW w:w="1327"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Cs w:val="21"/>
                <w:highlight w:val="none"/>
                <w:lang w:bidi="ar"/>
                <w14:ligatures w14:val="none"/>
              </w:rPr>
            </w:pPr>
          </w:p>
        </w:tc>
        <w:tc>
          <w:tcPr>
            <w:tcW w:w="110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Cs w:val="21"/>
                <w:highlight w:val="none"/>
                <w:lang w:bidi="ar"/>
                <w14:ligatures w14:val="none"/>
              </w:rPr>
            </w:pPr>
          </w:p>
        </w:tc>
        <w:tc>
          <w:tcPr>
            <w:tcW w:w="1255"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Cs w:val="21"/>
                <w:highlight w:val="none"/>
                <w:lang w:bidi="ar"/>
                <w14:ligatures w14:val="none"/>
              </w:rPr>
            </w:pPr>
          </w:p>
        </w:tc>
        <w:tc>
          <w:tcPr>
            <w:tcW w:w="1118"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Cs w:val="21"/>
                <w:highlight w:val="none"/>
                <w:lang w:bidi="ar"/>
                <w14:ligatures w14:val="none"/>
              </w:rPr>
            </w:pPr>
          </w:p>
        </w:tc>
        <w:tc>
          <w:tcPr>
            <w:tcW w:w="2113"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86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Cs w:val="21"/>
                <w:highlight w:val="none"/>
                <w:lang w:val="en-US" w:eastAsia="zh-CN" w:bidi="ar"/>
                <w14:ligatures w14:val="none"/>
              </w:rPr>
            </w:pPr>
            <w:r>
              <w:rPr>
                <w:rFonts w:hint="eastAsia" w:ascii="方正仿宋_GBK" w:hAnsi="方正仿宋_GBK" w:eastAsia="方正仿宋_GBK" w:cs="方正仿宋_GBK"/>
                <w:b w:val="0"/>
                <w:bCs w:val="0"/>
                <w:color w:val="auto"/>
                <w:kern w:val="0"/>
                <w:szCs w:val="21"/>
                <w:highlight w:val="none"/>
                <w:lang w:val="en-US" w:eastAsia="zh-CN" w:bidi="ar"/>
                <w14:ligatures w14:val="none"/>
              </w:rPr>
              <w:t>...</w:t>
            </w:r>
          </w:p>
        </w:tc>
        <w:tc>
          <w:tcPr>
            <w:tcW w:w="87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Cs w:val="21"/>
                <w:highlight w:val="none"/>
                <w:lang w:bidi="ar"/>
                <w14:ligatures w14:val="none"/>
              </w:rPr>
            </w:pPr>
          </w:p>
        </w:tc>
        <w:tc>
          <w:tcPr>
            <w:tcW w:w="1617"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Cs w:val="21"/>
                <w:highlight w:val="none"/>
                <w:lang w:bidi="ar"/>
                <w14:ligatures w14:val="none"/>
              </w:rPr>
            </w:pPr>
          </w:p>
        </w:tc>
        <w:tc>
          <w:tcPr>
            <w:tcW w:w="136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Cs w:val="21"/>
                <w:highlight w:val="none"/>
                <w:lang w:bidi="ar"/>
                <w14:ligatures w14:val="none"/>
              </w:rPr>
            </w:pPr>
          </w:p>
        </w:tc>
        <w:tc>
          <w:tcPr>
            <w:tcW w:w="1092"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Cs w:val="21"/>
                <w:highlight w:val="none"/>
                <w:lang w:bidi="ar"/>
                <w14:ligatures w14:val="none"/>
              </w:rPr>
            </w:pPr>
          </w:p>
        </w:tc>
        <w:tc>
          <w:tcPr>
            <w:tcW w:w="1327"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Cs w:val="21"/>
                <w:highlight w:val="none"/>
                <w:lang w:bidi="ar"/>
                <w14:ligatures w14:val="none"/>
              </w:rPr>
            </w:pPr>
          </w:p>
        </w:tc>
        <w:tc>
          <w:tcPr>
            <w:tcW w:w="110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Cs w:val="21"/>
                <w:highlight w:val="none"/>
                <w:lang w:bidi="ar"/>
                <w14:ligatures w14:val="none"/>
              </w:rPr>
            </w:pPr>
          </w:p>
        </w:tc>
        <w:tc>
          <w:tcPr>
            <w:tcW w:w="1255"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Cs w:val="21"/>
                <w:highlight w:val="none"/>
                <w:lang w:bidi="ar"/>
                <w14:ligatures w14:val="none"/>
              </w:rPr>
            </w:pPr>
          </w:p>
        </w:tc>
        <w:tc>
          <w:tcPr>
            <w:tcW w:w="1118"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Cs w:val="21"/>
                <w:highlight w:val="none"/>
                <w:lang w:bidi="ar"/>
                <w14:ligatures w14:val="none"/>
              </w:rPr>
            </w:pPr>
          </w:p>
        </w:tc>
        <w:tc>
          <w:tcPr>
            <w:tcW w:w="2113"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Cs w:val="21"/>
                <w:highlight w:val="none"/>
                <w:lang w:bidi="ar"/>
                <w14:ligatures w14:val="none"/>
              </w:rPr>
            </w:pPr>
          </w:p>
        </w:tc>
      </w:tr>
    </w:tbl>
    <w:p>
      <w:pPr>
        <w:widowControl w:val="0"/>
        <w:adjustRightInd/>
        <w:snapToGrid w:val="0"/>
        <w:jc w:val="left"/>
        <w:rPr>
          <w:rFonts w:hint="eastAsia" w:ascii="方正仿宋_GBK" w:hAnsi="方正仿宋_GBK" w:eastAsia="方正仿宋_GBK" w:cs="方正仿宋_GBK"/>
          <w:b w:val="0"/>
          <w:bCs w:val="0"/>
          <w:color w:val="auto"/>
          <w:kern w:val="0"/>
          <w:szCs w:val="21"/>
          <w:highlight w:val="none"/>
          <w:lang w:bidi="ar"/>
        </w:rPr>
      </w:pP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bidi="ar"/>
        </w:rPr>
        <w:t>注：</w:t>
      </w:r>
    </w:p>
    <w:p>
      <w:pPr>
        <w:widowControl w:val="0"/>
        <w:adjustRightInd/>
        <w:snapToGrid w:val="0"/>
        <w:jc w:val="left"/>
        <w:rPr>
          <w:rFonts w:hint="eastAsia" w:ascii="方正仿宋_GBK" w:hAnsi="方正仿宋_GBK" w:eastAsia="方正仿宋_GBK" w:cs="方正仿宋_GBK"/>
          <w:b w:val="0"/>
          <w:bCs w:val="0"/>
          <w:color w:val="auto"/>
          <w:kern w:val="0"/>
          <w:szCs w:val="21"/>
          <w:highlight w:val="none"/>
          <w:lang w:bidi="ar"/>
        </w:rPr>
      </w:pPr>
      <w:r>
        <w:rPr>
          <w:rFonts w:hint="eastAsia" w:ascii="方正仿宋_GBK" w:hAnsi="方正仿宋_GBK" w:eastAsia="方正仿宋_GBK" w:cs="方正仿宋_GBK"/>
          <w:b w:val="0"/>
          <w:bCs w:val="0"/>
          <w:color w:val="auto"/>
          <w:kern w:val="0"/>
          <w:szCs w:val="21"/>
          <w:highlight w:val="none"/>
          <w:lang w:bidi="ar"/>
        </w:rPr>
        <w:t>1.代码</w:t>
      </w:r>
      <w:r>
        <w:rPr>
          <w:rFonts w:hint="eastAsia" w:ascii="方正仿宋_GBK" w:hAnsi="方正仿宋_GBK" w:eastAsia="方正仿宋_GBK" w:cs="方正仿宋_GBK"/>
          <w:b w:val="0"/>
          <w:bCs w:val="0"/>
          <w:color w:val="auto"/>
          <w:kern w:val="0"/>
          <w:szCs w:val="21"/>
          <w:highlight w:val="none"/>
          <w:lang w:val="en-US" w:eastAsia="zh-CN" w:bidi="ar"/>
        </w:rPr>
        <w:t>和名称</w:t>
      </w:r>
      <w:r>
        <w:rPr>
          <w:rFonts w:hint="eastAsia" w:ascii="方正仿宋_GBK" w:hAnsi="方正仿宋_GBK" w:eastAsia="方正仿宋_GBK" w:cs="方正仿宋_GBK"/>
          <w:b w:val="0"/>
          <w:bCs w:val="0"/>
          <w:color w:val="auto"/>
          <w:kern w:val="0"/>
          <w:szCs w:val="21"/>
          <w:highlight w:val="none"/>
          <w:lang w:bidi="ar"/>
        </w:rPr>
        <w:t>：根据实际情况从</w:t>
      </w:r>
      <w:r>
        <w:rPr>
          <w:rFonts w:hint="eastAsia" w:ascii="方正仿宋_GBK" w:hAnsi="方正仿宋_GBK" w:eastAsia="方正仿宋_GBK" w:cs="方正仿宋_GBK"/>
          <w:b w:val="0"/>
          <w:bCs w:val="0"/>
          <w:color w:val="auto"/>
          <w:kern w:val="0"/>
          <w:szCs w:val="21"/>
          <w:highlight w:val="none"/>
          <w:lang w:val="en-US" w:eastAsia="zh-CN" w:bidi="ar"/>
        </w:rPr>
        <w:t>《固体废物分类与代码目录》（生态环境部公告2024年第4号）</w:t>
      </w:r>
      <w:r>
        <w:rPr>
          <w:rFonts w:hint="eastAsia" w:ascii="方正仿宋_GBK" w:hAnsi="方正仿宋_GBK" w:eastAsia="方正仿宋_GBK" w:cs="方正仿宋_GBK"/>
          <w:b w:val="0"/>
          <w:bCs w:val="0"/>
          <w:color w:val="auto"/>
          <w:kern w:val="0"/>
          <w:szCs w:val="21"/>
          <w:highlight w:val="none"/>
          <w:lang w:bidi="ar"/>
        </w:rPr>
        <w:t>中选择废物种类</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代码</w:t>
      </w:r>
      <w:r>
        <w:rPr>
          <w:rFonts w:hint="eastAsia" w:ascii="方正仿宋_GBK" w:hAnsi="方正仿宋_GBK" w:eastAsia="方正仿宋_GBK" w:cs="方正仿宋_GBK"/>
          <w:b w:val="0"/>
          <w:bCs w:val="0"/>
          <w:color w:val="auto"/>
          <w:kern w:val="0"/>
          <w:szCs w:val="21"/>
          <w:highlight w:val="none"/>
          <w:lang w:val="en-US" w:eastAsia="zh-CN" w:bidi="ar"/>
        </w:rPr>
        <w:t>和名称</w:t>
      </w:r>
      <w:r>
        <w:rPr>
          <w:rFonts w:hint="eastAsia" w:ascii="方正仿宋_GBK" w:hAnsi="方正仿宋_GBK" w:eastAsia="方正仿宋_GBK" w:cs="方正仿宋_GBK"/>
          <w:b w:val="0"/>
          <w:bCs w:val="0"/>
          <w:color w:val="auto"/>
          <w:kern w:val="0"/>
          <w:szCs w:val="21"/>
          <w:highlight w:val="none"/>
          <w:lang w:bidi="ar"/>
        </w:rPr>
        <w:t>。</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val="en-US" w:eastAsia="zh-CN" w:bidi="ar"/>
        </w:rPr>
        <w:t>2</w:t>
      </w:r>
      <w:r>
        <w:rPr>
          <w:rFonts w:hint="eastAsia" w:ascii="方正仿宋_GBK" w:hAnsi="方正仿宋_GBK" w:eastAsia="方正仿宋_GBK" w:cs="方正仿宋_GBK"/>
          <w:b w:val="0"/>
          <w:bCs w:val="0"/>
          <w:color w:val="auto"/>
          <w:kern w:val="0"/>
          <w:szCs w:val="21"/>
          <w:highlight w:val="none"/>
          <w:lang w:bidi="ar"/>
        </w:rPr>
        <w:t>.类别：选择第Ⅰ类一般工业固体废物或第Ⅱ类一般工业固体废物。</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val="en-US" w:eastAsia="zh-CN" w:bidi="ar"/>
        </w:rPr>
        <w:t>3</w:t>
      </w:r>
      <w:r>
        <w:rPr>
          <w:rFonts w:hint="eastAsia" w:ascii="方正仿宋_GBK" w:hAnsi="方正仿宋_GBK" w:eastAsia="方正仿宋_GBK" w:cs="方正仿宋_GBK"/>
          <w:b w:val="0"/>
          <w:bCs w:val="0"/>
          <w:color w:val="auto"/>
          <w:kern w:val="0"/>
          <w:szCs w:val="21"/>
          <w:highlight w:val="none"/>
          <w:lang w:bidi="ar"/>
        </w:rPr>
        <w:t>.产生环节：说明固体废物的产生来源，例如在某个设施以某种原辅材料生产某种产物时产生的废物，明确产生废物的生产设施编码。</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val="en-US" w:eastAsia="zh-CN" w:bidi="ar"/>
        </w:rPr>
        <w:t>4</w:t>
      </w:r>
      <w:r>
        <w:rPr>
          <w:rFonts w:hint="eastAsia" w:ascii="方正仿宋_GBK" w:hAnsi="方正仿宋_GBK" w:eastAsia="方正仿宋_GBK" w:cs="方正仿宋_GBK"/>
          <w:b w:val="0"/>
          <w:bCs w:val="0"/>
          <w:color w:val="auto"/>
          <w:kern w:val="0"/>
          <w:szCs w:val="21"/>
          <w:highlight w:val="none"/>
          <w:lang w:bidi="ar"/>
        </w:rPr>
        <w:t>.物理性状：选择固态</w:t>
      </w:r>
      <w:r>
        <w:rPr>
          <w:rFonts w:hint="eastAsia" w:ascii="方正仿宋_GBK" w:hAnsi="方正仿宋_GBK" w:eastAsia="方正仿宋_GBK" w:cs="方正仿宋_GBK"/>
          <w:b w:val="0"/>
          <w:bCs w:val="0"/>
          <w:color w:val="auto"/>
          <w:kern w:val="0"/>
          <w:szCs w:val="21"/>
          <w:highlight w:val="none"/>
          <w:lang w:val="en-US" w:eastAsia="zh-CN" w:bidi="ar"/>
        </w:rPr>
        <w:t>S</w:t>
      </w:r>
      <w:r>
        <w:rPr>
          <w:rFonts w:hint="eastAsia" w:ascii="方正仿宋_GBK" w:hAnsi="方正仿宋_GBK" w:eastAsia="方正仿宋_GBK" w:cs="方正仿宋_GBK"/>
          <w:b w:val="0"/>
          <w:bCs w:val="0"/>
          <w:color w:val="auto"/>
          <w:kern w:val="0"/>
          <w:szCs w:val="21"/>
          <w:highlight w:val="none"/>
          <w:lang w:bidi="ar"/>
        </w:rPr>
        <w:t>、半固态</w:t>
      </w:r>
      <w:r>
        <w:rPr>
          <w:rFonts w:hint="eastAsia" w:ascii="方正仿宋_GBK" w:hAnsi="方正仿宋_GBK" w:eastAsia="方正仿宋_GBK" w:cs="方正仿宋_GBK"/>
          <w:b w:val="0"/>
          <w:bCs w:val="0"/>
          <w:color w:val="auto"/>
          <w:kern w:val="0"/>
          <w:szCs w:val="21"/>
          <w:highlight w:val="none"/>
          <w:lang w:val="en-US" w:eastAsia="zh-CN" w:bidi="ar"/>
        </w:rPr>
        <w:t>SS</w:t>
      </w:r>
      <w:r>
        <w:rPr>
          <w:rFonts w:hint="eastAsia" w:ascii="方正仿宋_GBK" w:hAnsi="方正仿宋_GBK" w:eastAsia="方正仿宋_GBK" w:cs="方正仿宋_GBK"/>
          <w:b w:val="0"/>
          <w:bCs w:val="0"/>
          <w:color w:val="auto"/>
          <w:kern w:val="0"/>
          <w:szCs w:val="21"/>
          <w:highlight w:val="none"/>
          <w:lang w:bidi="ar"/>
        </w:rPr>
        <w:t>、液态</w:t>
      </w:r>
      <w:r>
        <w:rPr>
          <w:rFonts w:hint="eastAsia" w:ascii="方正仿宋_GBK" w:hAnsi="方正仿宋_GBK" w:eastAsia="方正仿宋_GBK" w:cs="方正仿宋_GBK"/>
          <w:b w:val="0"/>
          <w:bCs w:val="0"/>
          <w:color w:val="auto"/>
          <w:kern w:val="0"/>
          <w:szCs w:val="21"/>
          <w:highlight w:val="none"/>
          <w:lang w:val="en-US" w:eastAsia="zh-CN" w:bidi="ar"/>
        </w:rPr>
        <w:t>L</w:t>
      </w:r>
      <w:r>
        <w:rPr>
          <w:rFonts w:hint="eastAsia" w:ascii="方正仿宋_GBK" w:hAnsi="方正仿宋_GBK" w:eastAsia="方正仿宋_GBK" w:cs="方正仿宋_GBK"/>
          <w:b w:val="0"/>
          <w:bCs w:val="0"/>
          <w:color w:val="auto"/>
          <w:kern w:val="0"/>
          <w:szCs w:val="21"/>
          <w:highlight w:val="none"/>
          <w:lang w:bidi="ar"/>
        </w:rPr>
        <w:t>、气态</w:t>
      </w:r>
      <w:r>
        <w:rPr>
          <w:rFonts w:hint="eastAsia" w:ascii="方正仿宋_GBK" w:hAnsi="方正仿宋_GBK" w:eastAsia="方正仿宋_GBK" w:cs="方正仿宋_GBK"/>
          <w:b w:val="0"/>
          <w:bCs w:val="0"/>
          <w:color w:val="auto"/>
          <w:kern w:val="0"/>
          <w:szCs w:val="21"/>
          <w:highlight w:val="none"/>
          <w:lang w:val="en-US" w:eastAsia="zh-CN" w:bidi="ar"/>
        </w:rPr>
        <w:t>G</w:t>
      </w:r>
      <w:r>
        <w:rPr>
          <w:rFonts w:hint="eastAsia" w:ascii="方正仿宋_GBK" w:hAnsi="方正仿宋_GBK" w:eastAsia="方正仿宋_GBK" w:cs="方正仿宋_GBK"/>
          <w:b w:val="0"/>
          <w:bCs w:val="0"/>
          <w:color w:val="auto"/>
          <w:kern w:val="0"/>
          <w:szCs w:val="21"/>
          <w:highlight w:val="none"/>
          <w:lang w:bidi="ar"/>
        </w:rPr>
        <w:t>或其他形态。</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val="en-US" w:eastAsia="zh-CN" w:bidi="ar"/>
        </w:rPr>
        <w:t>5</w:t>
      </w:r>
      <w:r>
        <w:rPr>
          <w:rFonts w:hint="eastAsia" w:ascii="方正仿宋_GBK" w:hAnsi="方正仿宋_GBK" w:eastAsia="方正仿宋_GBK" w:cs="方正仿宋_GBK"/>
          <w:b w:val="0"/>
          <w:bCs w:val="0"/>
          <w:color w:val="auto"/>
          <w:kern w:val="0"/>
          <w:szCs w:val="21"/>
          <w:highlight w:val="none"/>
          <w:lang w:bidi="ar"/>
        </w:rPr>
        <w:t>.主要成分：固体废物含有的典型物质成分，如磷石膏的主要成分为硫酸钙。</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val="en-US" w:eastAsia="zh-CN" w:bidi="ar"/>
        </w:rPr>
        <w:t>6</w:t>
      </w:r>
      <w:r>
        <w:rPr>
          <w:rFonts w:hint="eastAsia" w:ascii="方正仿宋_GBK" w:hAnsi="方正仿宋_GBK" w:eastAsia="方正仿宋_GBK" w:cs="方正仿宋_GBK"/>
          <w:b w:val="0"/>
          <w:bCs w:val="0"/>
          <w:color w:val="auto"/>
          <w:kern w:val="0"/>
          <w:szCs w:val="21"/>
          <w:highlight w:val="none"/>
          <w:lang w:bidi="ar"/>
        </w:rPr>
        <w:t>.污染特性：描述固体废物的特征污染物，以及其释放迁移对大气、水、土壤环境造成的影响。</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val="en-US" w:eastAsia="zh-CN" w:bidi="ar"/>
        </w:rPr>
        <w:t>7</w:t>
      </w:r>
      <w:r>
        <w:rPr>
          <w:rFonts w:hint="eastAsia" w:ascii="方正仿宋_GBK" w:hAnsi="方正仿宋_GBK" w:eastAsia="方正仿宋_GBK" w:cs="方正仿宋_GBK"/>
          <w:b w:val="0"/>
          <w:bCs w:val="0"/>
          <w:color w:val="auto"/>
          <w:kern w:val="0"/>
          <w:szCs w:val="21"/>
          <w:highlight w:val="none"/>
          <w:lang w:bidi="ar"/>
        </w:rPr>
        <w:t>.产废系数/年产生量：单位产品或单位原料所产生的固体废物量，或者填写固体废物的年度产生量。</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highlight w:val="none"/>
        </w:rPr>
        <w:br w:type="page"/>
      </w:r>
    </w:p>
    <w:p>
      <w:pPr>
        <w:keepNext w:val="0"/>
        <w:keepLines w:val="0"/>
        <w:widowControl w:val="0"/>
        <w:suppressLineNumbers w:val="0"/>
        <w:adjustRightInd/>
        <w:snapToGrid w:val="0"/>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附表2（必填）</w:t>
      </w:r>
    </w:p>
    <w:p>
      <w:pPr>
        <w:adjustRightInd/>
        <w:snapToGrid w:val="0"/>
        <w:spacing w:line="560" w:lineRule="exact"/>
        <w:ind w:firstLine="640" w:firstLineChars="200"/>
        <w:jc w:val="center"/>
        <w:rPr>
          <w:rFonts w:hint="eastAsia" w:ascii="方正小标宋_GBK" w:hAnsi="方正小标宋_GBK" w:eastAsia="方正小标宋_GBK" w:cs="方正小标宋_GBK"/>
          <w:b w:val="0"/>
          <w:bCs w:val="0"/>
          <w:color w:val="auto"/>
          <w:sz w:val="32"/>
          <w:szCs w:val="32"/>
          <w:highlight w:val="none"/>
        </w:rPr>
      </w:pPr>
      <w:r>
        <w:rPr>
          <w:rFonts w:hint="eastAsia" w:ascii="方正小标宋_GBK" w:hAnsi="方正小标宋_GBK" w:eastAsia="方正小标宋_GBK" w:cs="方正小标宋_GBK"/>
          <w:b w:val="0"/>
          <w:bCs w:val="0"/>
          <w:color w:val="auto"/>
          <w:sz w:val="32"/>
          <w:szCs w:val="32"/>
          <w:highlight w:val="none"/>
        </w:rPr>
        <w:t xml:space="preserve">一般工业固体废物流向汇总表（    </w:t>
      </w:r>
      <w:r>
        <w:rPr>
          <w:rFonts w:hint="eastAsia" w:ascii="方正小标宋_GBK" w:hAnsi="方正小标宋_GBK" w:eastAsia="方正小标宋_GBK" w:cs="方正小标宋_GBK"/>
          <w:b w:val="0"/>
          <w:bCs w:val="0"/>
          <w:color w:val="auto"/>
          <w:sz w:val="32"/>
          <w:szCs w:val="32"/>
          <w:highlight w:val="none"/>
          <w:lang w:val="en-US" w:eastAsia="zh-CN"/>
        </w:rPr>
        <w:t xml:space="preserve">   </w:t>
      </w:r>
      <w:r>
        <w:rPr>
          <w:rFonts w:hint="eastAsia" w:ascii="方正小标宋_GBK" w:hAnsi="方正小标宋_GBK" w:eastAsia="方正小标宋_GBK" w:cs="方正小标宋_GBK"/>
          <w:b w:val="0"/>
          <w:bCs w:val="0"/>
          <w:color w:val="auto"/>
          <w:sz w:val="32"/>
          <w:szCs w:val="32"/>
          <w:highlight w:val="none"/>
        </w:rPr>
        <w:t xml:space="preserve">年   </w:t>
      </w:r>
      <w:r>
        <w:rPr>
          <w:rFonts w:hint="eastAsia" w:ascii="方正小标宋_GBK" w:hAnsi="方正小标宋_GBK" w:eastAsia="方正小标宋_GBK" w:cs="方正小标宋_GBK"/>
          <w:b w:val="0"/>
          <w:bCs w:val="0"/>
          <w:color w:val="auto"/>
          <w:sz w:val="32"/>
          <w:szCs w:val="32"/>
          <w:highlight w:val="none"/>
          <w:lang w:val="en-US" w:eastAsia="zh-CN"/>
        </w:rPr>
        <w:t xml:space="preserve">  </w:t>
      </w:r>
      <w:r>
        <w:rPr>
          <w:rFonts w:hint="eastAsia" w:ascii="方正小标宋_GBK" w:hAnsi="方正小标宋_GBK" w:eastAsia="方正小标宋_GBK" w:cs="方正小标宋_GBK"/>
          <w:b w:val="0"/>
          <w:bCs w:val="0"/>
          <w:color w:val="auto"/>
          <w:sz w:val="32"/>
          <w:szCs w:val="32"/>
          <w:highlight w:val="none"/>
        </w:rPr>
        <w:t xml:space="preserve"> 月）</w:t>
      </w:r>
    </w:p>
    <w:p>
      <w:pPr>
        <w:adjustRightInd/>
        <w:snapToGrid w:val="0"/>
        <w:spacing w:line="560" w:lineRule="exact"/>
        <w:ind w:firstLine="640" w:firstLineChars="200"/>
        <w:jc w:val="center"/>
        <w:rPr>
          <w:rFonts w:hint="eastAsia" w:ascii="方正仿宋_GBK" w:hAnsi="方正仿宋_GBK" w:eastAsia="方正仿宋_GBK" w:cs="方正仿宋_GBK"/>
          <w:b w:val="0"/>
          <w:bCs w:val="0"/>
          <w:color w:val="auto"/>
          <w:sz w:val="32"/>
          <w:szCs w:val="32"/>
          <w:highlight w:val="none"/>
        </w:rPr>
      </w:pP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4"/>
          <w:highlight w:val="none"/>
          <w:lang w:bidi="ar"/>
        </w:rPr>
        <w:t xml:space="preserve">负责人签字：            </w:t>
      </w:r>
      <w:r>
        <w:rPr>
          <w:rFonts w:hint="eastAsia" w:ascii="方正仿宋_GBK" w:hAnsi="方正仿宋_GBK" w:eastAsia="方正仿宋_GBK" w:cs="方正仿宋_GBK"/>
          <w:b w:val="0"/>
          <w:bCs w:val="0"/>
          <w:color w:val="auto"/>
          <w:kern w:val="0"/>
          <w:szCs w:val="24"/>
          <w:highlight w:val="none"/>
          <w:lang w:val="en-US" w:eastAsia="zh-CN" w:bidi="ar"/>
        </w:rPr>
        <w:t xml:space="preserve">                                                </w:t>
      </w:r>
      <w:r>
        <w:rPr>
          <w:rFonts w:hint="eastAsia" w:ascii="方正仿宋_GBK" w:hAnsi="方正仿宋_GBK" w:eastAsia="方正仿宋_GBK" w:cs="方正仿宋_GBK"/>
          <w:b w:val="0"/>
          <w:bCs w:val="0"/>
          <w:color w:val="auto"/>
          <w:kern w:val="0"/>
          <w:szCs w:val="24"/>
          <w:highlight w:val="none"/>
          <w:lang w:bidi="ar"/>
        </w:rPr>
        <w:t xml:space="preserve">                  填表人签字：             </w:t>
      </w:r>
      <w:r>
        <w:rPr>
          <w:rFonts w:hint="eastAsia" w:ascii="方正仿宋_GBK" w:hAnsi="方正仿宋_GBK" w:eastAsia="方正仿宋_GBK" w:cs="方正仿宋_GBK"/>
          <w:b w:val="0"/>
          <w:bCs w:val="0"/>
          <w:color w:val="auto"/>
          <w:kern w:val="0"/>
          <w:szCs w:val="24"/>
          <w:highlight w:val="none"/>
          <w:lang w:val="en-US" w:eastAsia="zh-CN" w:bidi="ar"/>
        </w:rPr>
        <w:t xml:space="preserve">                                                         </w:t>
      </w:r>
      <w:r>
        <w:rPr>
          <w:rFonts w:hint="eastAsia" w:ascii="方正仿宋_GBK" w:hAnsi="方正仿宋_GBK" w:eastAsia="方正仿宋_GBK" w:cs="方正仿宋_GBK"/>
          <w:b w:val="0"/>
          <w:bCs w:val="0"/>
          <w:color w:val="auto"/>
          <w:kern w:val="0"/>
          <w:szCs w:val="24"/>
          <w:highlight w:val="none"/>
          <w:lang w:bidi="ar"/>
        </w:rPr>
        <w:t xml:space="preserve">       填表日期：</w:t>
      </w:r>
    </w:p>
    <w:tbl>
      <w:tblPr>
        <w:tblStyle w:val="18"/>
        <w:tblpPr w:leftFromText="180" w:rightFromText="180" w:vertAnchor="text" w:horzAnchor="page" w:tblpXSpec="center" w:tblpY="99"/>
        <w:tblOverlap w:val="never"/>
        <w:tblW w:w="14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301"/>
        <w:gridCol w:w="1056"/>
        <w:gridCol w:w="717"/>
        <w:gridCol w:w="936"/>
        <w:gridCol w:w="936"/>
        <w:gridCol w:w="936"/>
        <w:gridCol w:w="936"/>
        <w:gridCol w:w="936"/>
        <w:gridCol w:w="936"/>
        <w:gridCol w:w="936"/>
        <w:gridCol w:w="936"/>
        <w:gridCol w:w="936"/>
        <w:gridCol w:w="936"/>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750"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Cs w:val="21"/>
                <w:highlight w:val="none"/>
                <w:lang w:val="en-US" w:eastAsia="zh-CN"/>
                <w14:ligatures w14:val="none"/>
              </w:rPr>
            </w:pPr>
            <w:r>
              <w:rPr>
                <w:rFonts w:hint="eastAsia" w:ascii="方正仿宋_GBK" w:hAnsi="方正仿宋_GBK" w:eastAsia="方正仿宋_GBK" w:cs="方正仿宋_GBK"/>
                <w:b w:val="0"/>
                <w:bCs w:val="0"/>
                <w:color w:val="auto"/>
                <w:kern w:val="0"/>
                <w:szCs w:val="21"/>
                <w:highlight w:val="none"/>
                <w:lang w:val="en-US" w:eastAsia="zh-CN"/>
                <w14:ligatures w14:val="none"/>
              </w:rPr>
              <w:t>种类</w:t>
            </w:r>
          </w:p>
        </w:tc>
        <w:tc>
          <w:tcPr>
            <w:tcW w:w="1301"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Cs w:val="21"/>
                <w:highlight w:val="none"/>
                <w:lang w:val="en-US" w:eastAsia="zh-CN"/>
                <w14:ligatures w14:val="none"/>
              </w:rPr>
            </w:pPr>
            <w:r>
              <w:rPr>
                <w:rFonts w:hint="eastAsia" w:ascii="方正仿宋_GBK" w:hAnsi="方正仿宋_GBK" w:eastAsia="方正仿宋_GBK" w:cs="方正仿宋_GBK"/>
                <w:b w:val="0"/>
                <w:bCs w:val="0"/>
                <w:color w:val="auto"/>
                <w:kern w:val="0"/>
                <w:szCs w:val="21"/>
                <w:highlight w:val="none"/>
                <w14:ligatures w14:val="none"/>
              </w:rPr>
              <w:t>代码</w:t>
            </w:r>
          </w:p>
        </w:tc>
        <w:tc>
          <w:tcPr>
            <w:tcW w:w="1056"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名称</w:t>
            </w:r>
          </w:p>
        </w:tc>
        <w:tc>
          <w:tcPr>
            <w:tcW w:w="717"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类别</w:t>
            </w:r>
          </w:p>
        </w:tc>
        <w:tc>
          <w:tcPr>
            <w:tcW w:w="936"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产生量</w:t>
            </w:r>
          </w:p>
        </w:tc>
        <w:tc>
          <w:tcPr>
            <w:tcW w:w="936"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贮存量</w:t>
            </w:r>
          </w:p>
        </w:tc>
        <w:tc>
          <w:tcPr>
            <w:tcW w:w="936"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累计贮存量</w:t>
            </w:r>
          </w:p>
        </w:tc>
        <w:tc>
          <w:tcPr>
            <w:tcW w:w="936"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自行利用方式</w:t>
            </w:r>
          </w:p>
        </w:tc>
        <w:tc>
          <w:tcPr>
            <w:tcW w:w="936"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自行利用数量</w:t>
            </w:r>
          </w:p>
        </w:tc>
        <w:tc>
          <w:tcPr>
            <w:tcW w:w="936"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委托利用方式</w:t>
            </w:r>
          </w:p>
        </w:tc>
        <w:tc>
          <w:tcPr>
            <w:tcW w:w="936"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委托利用数量</w:t>
            </w:r>
          </w:p>
        </w:tc>
        <w:tc>
          <w:tcPr>
            <w:tcW w:w="936"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自行处置方式</w:t>
            </w:r>
          </w:p>
        </w:tc>
        <w:tc>
          <w:tcPr>
            <w:tcW w:w="936"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自行处置数量</w:t>
            </w:r>
          </w:p>
        </w:tc>
        <w:tc>
          <w:tcPr>
            <w:tcW w:w="936"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委托处置方式</w:t>
            </w:r>
          </w:p>
        </w:tc>
        <w:tc>
          <w:tcPr>
            <w:tcW w:w="936"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委托处置数量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75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val="en-US" w:eastAsia="zh-CN" w:bidi="ar"/>
                <w14:ligatures w14:val="none"/>
              </w:rPr>
            </w:pPr>
          </w:p>
        </w:tc>
        <w:tc>
          <w:tcPr>
            <w:tcW w:w="130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val="en-US" w:eastAsia="zh-CN" w:bidi="ar"/>
                <w14:ligatures w14:val="none"/>
              </w:rPr>
            </w:pPr>
          </w:p>
        </w:tc>
        <w:tc>
          <w:tcPr>
            <w:tcW w:w="105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717"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75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val="en-US" w:eastAsia="zh-CN" w:bidi="ar"/>
                <w14:ligatures w14:val="none"/>
              </w:rPr>
            </w:pPr>
          </w:p>
        </w:tc>
        <w:tc>
          <w:tcPr>
            <w:tcW w:w="130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val="en-US" w:eastAsia="zh-CN" w:bidi="ar"/>
                <w14:ligatures w14:val="none"/>
              </w:rPr>
            </w:pPr>
          </w:p>
        </w:tc>
        <w:tc>
          <w:tcPr>
            <w:tcW w:w="105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717"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75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val="en-US" w:eastAsia="zh-CN" w:bidi="ar"/>
                <w14:ligatures w14:val="none"/>
              </w:rPr>
            </w:pPr>
          </w:p>
        </w:tc>
        <w:tc>
          <w:tcPr>
            <w:tcW w:w="130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val="en-US" w:eastAsia="zh-CN" w:bidi="ar"/>
                <w14:ligatures w14:val="none"/>
              </w:rPr>
            </w:pPr>
          </w:p>
        </w:tc>
        <w:tc>
          <w:tcPr>
            <w:tcW w:w="105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717"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3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r>
    </w:tbl>
    <w:p>
      <w:pPr>
        <w:widowControl w:val="0"/>
        <w:adjustRightInd/>
        <w:snapToGrid w:val="0"/>
        <w:jc w:val="left"/>
        <w:rPr>
          <w:rFonts w:hint="eastAsia" w:ascii="方正仿宋_GBK" w:hAnsi="方正仿宋_GBK" w:eastAsia="方正仿宋_GBK" w:cs="方正仿宋_GBK"/>
          <w:b w:val="0"/>
          <w:bCs w:val="0"/>
          <w:color w:val="auto"/>
          <w:kern w:val="0"/>
          <w:szCs w:val="21"/>
          <w:highlight w:val="none"/>
          <w:lang w:bidi="ar"/>
        </w:rPr>
      </w:pP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bidi="ar"/>
        </w:rPr>
        <w:t>注：</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bidi="ar"/>
        </w:rPr>
        <w:t>1.产生量、贮存量、利用量、处置量：均为填表期间内的实际发生数量。</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bidi="ar"/>
        </w:rPr>
        <w:t>2.累计贮存量：截止到填表当月月底，累计实际贮存总量，包括本指南实施之前发生的贮存量。</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bidi="ar"/>
        </w:rPr>
        <w:t>3.自行/委托利用方式：根据实际情况。简要描述利用技术路线和利用产物。</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bidi="ar"/>
        </w:rPr>
        <w:t>4.自行/委托处置方式：根据实际情况，选择焚烧、填埋、其他处置方式。</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bidi="ar"/>
        </w:rPr>
        <w:t>5.利用/处置数量：原则上应以</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吨</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为单位计量，如以其他单位计量则应说明计量单位，并通过估算换算成以</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吨</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计量。</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highlight w:val="none"/>
        </w:rPr>
        <w:br w:type="page"/>
      </w:r>
    </w:p>
    <w:p>
      <w:pPr>
        <w:keepNext w:val="0"/>
        <w:keepLines w:val="0"/>
        <w:widowControl w:val="0"/>
        <w:suppressLineNumbers w:val="0"/>
        <w:adjustRightInd/>
        <w:snapToGrid w:val="0"/>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附表3（必填）</w:t>
      </w:r>
    </w:p>
    <w:p>
      <w:pPr>
        <w:adjustRightInd/>
        <w:snapToGrid w:val="0"/>
        <w:spacing w:line="560" w:lineRule="exact"/>
        <w:ind w:firstLine="640" w:firstLineChars="200"/>
        <w:jc w:val="center"/>
        <w:rPr>
          <w:rFonts w:hint="eastAsia" w:ascii="方正小标宋_GBK" w:hAnsi="方正小标宋_GBK" w:eastAsia="方正小标宋_GBK" w:cs="方正小标宋_GBK"/>
          <w:b w:val="0"/>
          <w:bCs w:val="0"/>
          <w:color w:val="auto"/>
          <w:sz w:val="32"/>
          <w:szCs w:val="32"/>
          <w:highlight w:val="none"/>
        </w:rPr>
      </w:pPr>
      <w:r>
        <w:rPr>
          <w:rFonts w:hint="eastAsia" w:ascii="方正小标宋_GBK" w:hAnsi="方正小标宋_GBK" w:eastAsia="方正小标宋_GBK" w:cs="方正小标宋_GBK"/>
          <w:b w:val="0"/>
          <w:bCs w:val="0"/>
          <w:color w:val="auto"/>
          <w:sz w:val="32"/>
          <w:szCs w:val="32"/>
          <w:highlight w:val="none"/>
        </w:rPr>
        <w:t>一般工业固体废物出厂环节记录表</w:t>
      </w:r>
    </w:p>
    <w:p>
      <w:pPr>
        <w:adjustRightInd/>
        <w:snapToGrid w:val="0"/>
        <w:spacing w:line="560" w:lineRule="exact"/>
        <w:ind w:firstLine="640" w:firstLineChars="200"/>
        <w:jc w:val="center"/>
        <w:rPr>
          <w:rFonts w:hint="eastAsia" w:ascii="方正仿宋_GBK" w:hAnsi="方正仿宋_GBK" w:eastAsia="方正仿宋_GBK" w:cs="方正仿宋_GBK"/>
          <w:b w:val="0"/>
          <w:bCs w:val="0"/>
          <w:color w:val="auto"/>
          <w:sz w:val="32"/>
          <w:szCs w:val="32"/>
          <w:highlight w:val="none"/>
        </w:rPr>
      </w:pPr>
    </w:p>
    <w:p>
      <w:pPr>
        <w:widowControl w:val="0"/>
        <w:adjustRightInd/>
        <w:snapToGrid w:val="0"/>
        <w:jc w:val="left"/>
        <w:rPr>
          <w:rFonts w:hint="eastAsia" w:ascii="方正仿宋_GBK" w:hAnsi="方正仿宋_GBK" w:eastAsia="方正仿宋_GBK" w:cs="方正仿宋_GBK"/>
          <w:b w:val="0"/>
          <w:bCs w:val="0"/>
          <w:color w:val="auto"/>
          <w:szCs w:val="21"/>
          <w:highlight w:val="none"/>
        </w:rPr>
      </w:pPr>
      <w:r>
        <w:rPr>
          <w:rFonts w:hint="eastAsia" w:ascii="方正仿宋_GBK" w:hAnsi="方正仿宋_GBK" w:eastAsia="方正仿宋_GBK" w:cs="方正仿宋_GBK"/>
          <w:b w:val="0"/>
          <w:bCs w:val="0"/>
          <w:color w:val="auto"/>
          <w:kern w:val="0"/>
          <w:szCs w:val="24"/>
          <w:highlight w:val="none"/>
          <w:lang w:bidi="ar"/>
        </w:rPr>
        <w:t xml:space="preserve">负责人签字：            </w:t>
      </w:r>
      <w:r>
        <w:rPr>
          <w:rFonts w:hint="eastAsia" w:ascii="方正仿宋_GBK" w:hAnsi="方正仿宋_GBK" w:eastAsia="方正仿宋_GBK" w:cs="方正仿宋_GBK"/>
          <w:b w:val="0"/>
          <w:bCs w:val="0"/>
          <w:color w:val="auto"/>
          <w:kern w:val="0"/>
          <w:szCs w:val="24"/>
          <w:highlight w:val="none"/>
          <w:lang w:val="en-US" w:eastAsia="zh-CN" w:bidi="ar"/>
        </w:rPr>
        <w:t xml:space="preserve">                                                </w:t>
      </w:r>
      <w:r>
        <w:rPr>
          <w:rFonts w:hint="eastAsia" w:ascii="方正仿宋_GBK" w:hAnsi="方正仿宋_GBK" w:eastAsia="方正仿宋_GBK" w:cs="方正仿宋_GBK"/>
          <w:b w:val="0"/>
          <w:bCs w:val="0"/>
          <w:color w:val="auto"/>
          <w:kern w:val="0"/>
          <w:szCs w:val="24"/>
          <w:highlight w:val="none"/>
          <w:lang w:bidi="ar"/>
        </w:rPr>
        <w:t xml:space="preserve">                  填表人签字：             </w:t>
      </w:r>
      <w:r>
        <w:rPr>
          <w:rFonts w:hint="eastAsia" w:ascii="方正仿宋_GBK" w:hAnsi="方正仿宋_GBK" w:eastAsia="方正仿宋_GBK" w:cs="方正仿宋_GBK"/>
          <w:b w:val="0"/>
          <w:bCs w:val="0"/>
          <w:color w:val="auto"/>
          <w:kern w:val="0"/>
          <w:szCs w:val="24"/>
          <w:highlight w:val="none"/>
          <w:lang w:val="en-US" w:eastAsia="zh-CN" w:bidi="ar"/>
        </w:rPr>
        <w:t xml:space="preserve">                                                         </w:t>
      </w:r>
      <w:r>
        <w:rPr>
          <w:rFonts w:hint="eastAsia" w:ascii="方正仿宋_GBK" w:hAnsi="方正仿宋_GBK" w:eastAsia="方正仿宋_GBK" w:cs="方正仿宋_GBK"/>
          <w:b w:val="0"/>
          <w:bCs w:val="0"/>
          <w:color w:val="auto"/>
          <w:kern w:val="0"/>
          <w:szCs w:val="24"/>
          <w:highlight w:val="none"/>
          <w:lang w:bidi="ar"/>
        </w:rPr>
        <w:t xml:space="preserve">       填表日期：</w:t>
      </w:r>
    </w:p>
    <w:tbl>
      <w:tblPr>
        <w:tblStyle w:val="18"/>
        <w:tblpPr w:leftFromText="180" w:rightFromText="180" w:vertAnchor="text" w:horzAnchor="page" w:tblpXSpec="center" w:tblpY="99"/>
        <w:tblOverlap w:val="never"/>
        <w:tblW w:w="127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543"/>
        <w:gridCol w:w="1320"/>
        <w:gridCol w:w="984"/>
        <w:gridCol w:w="1188"/>
        <w:gridCol w:w="1099"/>
        <w:gridCol w:w="1099"/>
        <w:gridCol w:w="1099"/>
        <w:gridCol w:w="1099"/>
        <w:gridCol w:w="1099"/>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1075"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Cs w:val="21"/>
                <w:highlight w:val="none"/>
                <w:lang w:val="en-US" w:eastAsia="zh-CN"/>
                <w14:ligatures w14:val="none"/>
              </w:rPr>
            </w:pPr>
            <w:r>
              <w:rPr>
                <w:rFonts w:hint="eastAsia" w:ascii="方正仿宋_GBK" w:hAnsi="方正仿宋_GBK" w:eastAsia="方正仿宋_GBK" w:cs="方正仿宋_GBK"/>
                <w:b w:val="0"/>
                <w:bCs w:val="0"/>
                <w:color w:val="auto"/>
                <w:kern w:val="0"/>
                <w:szCs w:val="21"/>
                <w:highlight w:val="none"/>
                <w:lang w:val="en-US" w:eastAsia="zh-CN"/>
                <w14:ligatures w14:val="none"/>
              </w:rPr>
              <w:t>种类</w:t>
            </w:r>
          </w:p>
        </w:tc>
        <w:tc>
          <w:tcPr>
            <w:tcW w:w="1543"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代码</w:t>
            </w:r>
          </w:p>
        </w:tc>
        <w:tc>
          <w:tcPr>
            <w:tcW w:w="1320"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名称</w:t>
            </w:r>
          </w:p>
        </w:tc>
        <w:tc>
          <w:tcPr>
            <w:tcW w:w="984"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出厂时间</w:t>
            </w:r>
          </w:p>
        </w:tc>
        <w:tc>
          <w:tcPr>
            <w:tcW w:w="1188"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出厂数量（吨）</w:t>
            </w:r>
          </w:p>
        </w:tc>
        <w:tc>
          <w:tcPr>
            <w:tcW w:w="1099"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出厂环节</w:t>
            </w:r>
          </w:p>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经办人</w:t>
            </w:r>
          </w:p>
        </w:tc>
        <w:tc>
          <w:tcPr>
            <w:tcW w:w="1099"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运输单位</w:t>
            </w:r>
          </w:p>
        </w:tc>
        <w:tc>
          <w:tcPr>
            <w:tcW w:w="1099"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运输信息</w:t>
            </w:r>
          </w:p>
        </w:tc>
        <w:tc>
          <w:tcPr>
            <w:tcW w:w="1099"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运输方式</w:t>
            </w:r>
          </w:p>
        </w:tc>
        <w:tc>
          <w:tcPr>
            <w:tcW w:w="1099"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接收单位</w:t>
            </w:r>
          </w:p>
        </w:tc>
        <w:tc>
          <w:tcPr>
            <w:tcW w:w="1099"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流向类型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1075"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val="en-US" w:eastAsia="zh-CN" w:bidi="ar"/>
                <w14:ligatures w14:val="none"/>
              </w:rPr>
            </w:pPr>
          </w:p>
        </w:tc>
        <w:tc>
          <w:tcPr>
            <w:tcW w:w="1543"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val="en-US" w:eastAsia="zh-CN" w:bidi="ar"/>
                <w14:ligatures w14:val="none"/>
              </w:rPr>
            </w:pPr>
          </w:p>
        </w:tc>
        <w:tc>
          <w:tcPr>
            <w:tcW w:w="132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84"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188"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9"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9"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9"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9"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9"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9"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1075"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543"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32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84"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188"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9"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9"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9"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9"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9"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9"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1075"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543"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32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984"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188"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9"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9"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9"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9"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9"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9"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r>
    </w:tbl>
    <w:p>
      <w:pPr>
        <w:widowControl w:val="0"/>
        <w:adjustRightInd/>
        <w:snapToGrid w:val="0"/>
        <w:jc w:val="left"/>
        <w:rPr>
          <w:rFonts w:hint="eastAsia" w:ascii="方正仿宋_GBK" w:hAnsi="方正仿宋_GBK" w:eastAsia="方正仿宋_GBK" w:cs="方正仿宋_GBK"/>
          <w:b w:val="0"/>
          <w:bCs w:val="0"/>
          <w:color w:val="auto"/>
          <w:kern w:val="0"/>
          <w:szCs w:val="21"/>
          <w:highlight w:val="none"/>
          <w:lang w:bidi="ar"/>
        </w:rPr>
      </w:pP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bidi="ar"/>
        </w:rPr>
        <w:t>注：</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bidi="ar"/>
        </w:rPr>
        <w:t>1.记录表编号：可采用</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出厂</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首字母加年月日再加编号的方式设计，例如</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CC202</w:t>
      </w:r>
      <w:r>
        <w:rPr>
          <w:rFonts w:hint="eastAsia" w:ascii="方正仿宋_GBK" w:hAnsi="方正仿宋_GBK" w:eastAsia="方正仿宋_GBK" w:cs="方正仿宋_GBK"/>
          <w:b w:val="0"/>
          <w:bCs w:val="0"/>
          <w:color w:val="auto"/>
          <w:kern w:val="0"/>
          <w:szCs w:val="21"/>
          <w:highlight w:val="none"/>
          <w:lang w:val="en-US" w:eastAsia="zh-CN" w:bidi="ar"/>
        </w:rPr>
        <w:t>4</w:t>
      </w:r>
      <w:r>
        <w:rPr>
          <w:rFonts w:hint="eastAsia" w:ascii="方正仿宋_GBK" w:hAnsi="方正仿宋_GBK" w:eastAsia="方正仿宋_GBK" w:cs="方正仿宋_GBK"/>
          <w:b w:val="0"/>
          <w:bCs w:val="0"/>
          <w:color w:val="auto"/>
          <w:kern w:val="0"/>
          <w:szCs w:val="21"/>
          <w:highlight w:val="none"/>
          <w:lang w:bidi="ar"/>
        </w:rPr>
        <w:t>1</w:t>
      </w:r>
      <w:r>
        <w:rPr>
          <w:rFonts w:hint="eastAsia" w:ascii="方正仿宋_GBK" w:hAnsi="方正仿宋_GBK" w:eastAsia="方正仿宋_GBK" w:cs="方正仿宋_GBK"/>
          <w:b w:val="0"/>
          <w:bCs w:val="0"/>
          <w:color w:val="auto"/>
          <w:kern w:val="0"/>
          <w:szCs w:val="21"/>
          <w:highlight w:val="none"/>
          <w:lang w:val="en-US" w:eastAsia="zh-CN" w:bidi="ar"/>
        </w:rPr>
        <w:t>0</w:t>
      </w:r>
      <w:r>
        <w:rPr>
          <w:rFonts w:hint="eastAsia" w:ascii="方正仿宋_GBK" w:hAnsi="方正仿宋_GBK" w:eastAsia="方正仿宋_GBK" w:cs="方正仿宋_GBK"/>
          <w:b w:val="0"/>
          <w:bCs w:val="0"/>
          <w:color w:val="auto"/>
          <w:kern w:val="0"/>
          <w:szCs w:val="21"/>
          <w:highlight w:val="none"/>
          <w:lang w:bidi="ar"/>
        </w:rPr>
        <w:t>2001</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，也可根据需要自行设计。</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bidi="ar"/>
        </w:rPr>
        <w:t>2.出厂时间：原则上应精确至</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分</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bidi="ar"/>
        </w:rPr>
        <w:t>3.出厂数量：原则上应以</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吨</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为单位计量，如以其他单位计量则应说明计量单位，并通过估算换算成以</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吨</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计量。</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bidi="ar"/>
        </w:rPr>
        <w:t>4.运输信息：填写运输车辆车牌号码、驾驶员姓名及联系方式。</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bidi="ar"/>
        </w:rPr>
        <w:t>5.运输方式：选择公路、铁路、水路。</w:t>
      </w:r>
    </w:p>
    <w:p>
      <w:pPr>
        <w:widowControl w:val="0"/>
        <w:adjustRightInd/>
        <w:snapToGrid w:val="0"/>
        <w:jc w:val="left"/>
        <w:rPr>
          <w:rFonts w:hint="eastAsia" w:ascii="方正仿宋_GBK" w:hAnsi="方正仿宋_GBK" w:eastAsia="方正仿宋_GBK" w:cs="方正仿宋_GBK"/>
          <w:b w:val="0"/>
          <w:bCs w:val="0"/>
          <w:color w:val="auto"/>
          <w:kern w:val="0"/>
          <w:szCs w:val="21"/>
          <w:highlight w:val="none"/>
          <w:lang w:bidi="ar"/>
        </w:rPr>
      </w:pPr>
      <w:r>
        <w:rPr>
          <w:rFonts w:hint="eastAsia" w:ascii="方正仿宋_GBK" w:hAnsi="方正仿宋_GBK" w:eastAsia="方正仿宋_GBK" w:cs="方正仿宋_GBK"/>
          <w:b w:val="0"/>
          <w:bCs w:val="0"/>
          <w:color w:val="auto"/>
          <w:kern w:val="0"/>
          <w:szCs w:val="21"/>
          <w:highlight w:val="none"/>
          <w:lang w:bidi="ar"/>
        </w:rPr>
        <w:t>6.流向类型：选择省内转移、跨省转移、越境转移。</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highlight w:val="none"/>
        </w:rPr>
        <w:br w:type="page"/>
      </w:r>
    </w:p>
    <w:p>
      <w:pPr>
        <w:keepNext w:val="0"/>
        <w:keepLines w:val="0"/>
        <w:widowControl w:val="0"/>
        <w:suppressLineNumbers w:val="0"/>
        <w:adjustRightInd/>
        <w:snapToGrid w:val="0"/>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附表4（选填）</w:t>
      </w:r>
    </w:p>
    <w:p>
      <w:pPr>
        <w:adjustRightInd/>
        <w:snapToGrid w:val="0"/>
        <w:spacing w:line="560" w:lineRule="exact"/>
        <w:ind w:firstLine="640" w:firstLineChars="200"/>
        <w:jc w:val="center"/>
        <w:rPr>
          <w:rFonts w:hint="eastAsia" w:ascii="方正小标宋_GBK" w:hAnsi="方正小标宋_GBK" w:eastAsia="方正小标宋_GBK" w:cs="方正小标宋_GBK"/>
          <w:b w:val="0"/>
          <w:bCs w:val="0"/>
          <w:color w:val="auto"/>
          <w:sz w:val="32"/>
          <w:szCs w:val="32"/>
          <w:highlight w:val="none"/>
        </w:rPr>
      </w:pPr>
      <w:r>
        <w:rPr>
          <w:rFonts w:hint="eastAsia" w:ascii="方正小标宋_GBK" w:hAnsi="方正小标宋_GBK" w:eastAsia="方正小标宋_GBK" w:cs="方正小标宋_GBK"/>
          <w:b w:val="0"/>
          <w:bCs w:val="0"/>
          <w:color w:val="auto"/>
          <w:sz w:val="32"/>
          <w:szCs w:val="32"/>
          <w:highlight w:val="none"/>
        </w:rPr>
        <w:t>一般工业固体废物产生环节记录表</w:t>
      </w:r>
    </w:p>
    <w:p>
      <w:pPr>
        <w:adjustRightInd/>
        <w:snapToGrid w:val="0"/>
        <w:spacing w:line="560" w:lineRule="exact"/>
        <w:ind w:firstLine="640" w:firstLineChars="200"/>
        <w:jc w:val="center"/>
        <w:rPr>
          <w:rFonts w:ascii="Times New Roman" w:hAnsi="Times New Roman" w:eastAsia="黑体" w:cs="Times New Roman"/>
          <w:b w:val="0"/>
          <w:bCs w:val="0"/>
          <w:color w:val="auto"/>
          <w:sz w:val="32"/>
          <w:szCs w:val="32"/>
          <w:highlight w:val="none"/>
        </w:rPr>
      </w:pPr>
    </w:p>
    <w:p>
      <w:pPr>
        <w:widowControl w:val="0"/>
        <w:adjustRightInd/>
        <w:snapToGrid w:val="0"/>
        <w:jc w:val="left"/>
        <w:rPr>
          <w:rFonts w:hint="eastAsia" w:ascii="方正仿宋_GBK" w:hAnsi="方正仿宋_GBK" w:eastAsia="方正仿宋_GBK" w:cs="方正仿宋_GBK"/>
          <w:b w:val="0"/>
          <w:bCs w:val="0"/>
          <w:color w:val="auto"/>
          <w:kern w:val="0"/>
          <w:szCs w:val="21"/>
          <w:highlight w:val="none"/>
          <w:lang w:bidi="ar"/>
        </w:rPr>
      </w:pPr>
      <w:r>
        <w:rPr>
          <w:rFonts w:hint="eastAsia" w:ascii="方正仿宋_GBK" w:hAnsi="方正仿宋_GBK" w:eastAsia="方正仿宋_GBK" w:cs="方正仿宋_GBK"/>
          <w:b w:val="0"/>
          <w:bCs w:val="0"/>
          <w:color w:val="auto"/>
          <w:kern w:val="0"/>
          <w:szCs w:val="21"/>
          <w:highlight w:val="none"/>
          <w:lang w:bidi="ar"/>
        </w:rPr>
        <w:t xml:space="preserve">记录表编号：   </w:t>
      </w:r>
      <w:r>
        <w:rPr>
          <w:rFonts w:hint="eastAsia" w:ascii="方正仿宋_GBK" w:hAnsi="方正仿宋_GBK" w:eastAsia="方正仿宋_GBK" w:cs="方正仿宋_GBK"/>
          <w:b w:val="0"/>
          <w:bCs w:val="0"/>
          <w:color w:val="auto"/>
          <w:kern w:val="0"/>
          <w:szCs w:val="21"/>
          <w:highlight w:val="none"/>
          <w:lang w:val="en-US" w:eastAsia="zh-CN" w:bidi="ar"/>
        </w:rPr>
        <w:t xml:space="preserve">                            </w:t>
      </w:r>
      <w:r>
        <w:rPr>
          <w:rFonts w:hint="eastAsia" w:ascii="方正仿宋_GBK" w:hAnsi="方正仿宋_GBK" w:eastAsia="方正仿宋_GBK" w:cs="方正仿宋_GBK"/>
          <w:b w:val="0"/>
          <w:bCs w:val="0"/>
          <w:color w:val="auto"/>
          <w:kern w:val="0"/>
          <w:szCs w:val="21"/>
          <w:highlight w:val="none"/>
          <w:lang w:bidi="ar"/>
        </w:rPr>
        <w:t xml:space="preserve">    生产设施编码：     </w:t>
      </w:r>
      <w:r>
        <w:rPr>
          <w:rFonts w:hint="eastAsia" w:ascii="方正仿宋_GBK" w:hAnsi="方正仿宋_GBK" w:eastAsia="方正仿宋_GBK" w:cs="方正仿宋_GBK"/>
          <w:b w:val="0"/>
          <w:bCs w:val="0"/>
          <w:color w:val="auto"/>
          <w:kern w:val="0"/>
          <w:szCs w:val="21"/>
          <w:highlight w:val="none"/>
          <w:lang w:val="en-US" w:eastAsia="zh-CN" w:bidi="ar"/>
        </w:rPr>
        <w:t xml:space="preserve">                             </w:t>
      </w:r>
      <w:r>
        <w:rPr>
          <w:rFonts w:hint="eastAsia" w:ascii="方正仿宋_GBK" w:hAnsi="方正仿宋_GBK" w:eastAsia="方正仿宋_GBK" w:cs="方正仿宋_GBK"/>
          <w:b w:val="0"/>
          <w:bCs w:val="0"/>
          <w:color w:val="auto"/>
          <w:kern w:val="0"/>
          <w:szCs w:val="21"/>
          <w:highlight w:val="none"/>
          <w:lang w:bidi="ar"/>
        </w:rPr>
        <w:t xml:space="preserve">          废物产生部门负责人：    </w:t>
      </w:r>
      <w:r>
        <w:rPr>
          <w:rFonts w:hint="eastAsia" w:ascii="方正仿宋_GBK" w:hAnsi="方正仿宋_GBK" w:eastAsia="方正仿宋_GBK" w:cs="方正仿宋_GBK"/>
          <w:b w:val="0"/>
          <w:bCs w:val="0"/>
          <w:color w:val="auto"/>
          <w:kern w:val="0"/>
          <w:szCs w:val="21"/>
          <w:highlight w:val="none"/>
          <w:lang w:val="en-US" w:eastAsia="zh-CN" w:bidi="ar"/>
        </w:rPr>
        <w:t xml:space="preserve">                         </w:t>
      </w:r>
      <w:r>
        <w:rPr>
          <w:rFonts w:hint="eastAsia" w:ascii="方正仿宋_GBK" w:hAnsi="方正仿宋_GBK" w:eastAsia="方正仿宋_GBK" w:cs="方正仿宋_GBK"/>
          <w:b w:val="0"/>
          <w:bCs w:val="0"/>
          <w:color w:val="auto"/>
          <w:kern w:val="0"/>
          <w:szCs w:val="21"/>
          <w:highlight w:val="none"/>
          <w:lang w:bidi="ar"/>
        </w:rPr>
        <w:t xml:space="preserve">         填表日期：</w:t>
      </w:r>
    </w:p>
    <w:tbl>
      <w:tblPr>
        <w:tblStyle w:val="18"/>
        <w:tblpPr w:leftFromText="180" w:rightFromText="180" w:vertAnchor="text" w:horzAnchor="page" w:tblpXSpec="center" w:tblpY="99"/>
        <w:tblOverlap w:val="never"/>
        <w:tblW w:w="129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617"/>
        <w:gridCol w:w="1277"/>
        <w:gridCol w:w="1243"/>
        <w:gridCol w:w="1757"/>
        <w:gridCol w:w="1305"/>
        <w:gridCol w:w="1438"/>
        <w:gridCol w:w="1796"/>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843"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Cs w:val="21"/>
                <w:highlight w:val="none"/>
                <w:lang w:val="en-US" w:eastAsia="zh-CN"/>
                <w14:ligatures w14:val="none"/>
              </w:rPr>
            </w:pPr>
            <w:r>
              <w:rPr>
                <w:rFonts w:hint="eastAsia" w:ascii="方正仿宋_GBK" w:hAnsi="方正仿宋_GBK" w:eastAsia="方正仿宋_GBK" w:cs="方正仿宋_GBK"/>
                <w:b w:val="0"/>
                <w:bCs w:val="0"/>
                <w:color w:val="auto"/>
                <w:kern w:val="0"/>
                <w:szCs w:val="21"/>
                <w:highlight w:val="none"/>
                <w:lang w:val="en-US" w:eastAsia="zh-CN"/>
                <w14:ligatures w14:val="none"/>
              </w:rPr>
              <w:t>种类</w:t>
            </w:r>
          </w:p>
        </w:tc>
        <w:tc>
          <w:tcPr>
            <w:tcW w:w="1617"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代码</w:t>
            </w:r>
          </w:p>
        </w:tc>
        <w:tc>
          <w:tcPr>
            <w:tcW w:w="1277"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名称</w:t>
            </w:r>
          </w:p>
        </w:tc>
        <w:tc>
          <w:tcPr>
            <w:tcW w:w="1243"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产生时间</w:t>
            </w:r>
          </w:p>
        </w:tc>
        <w:tc>
          <w:tcPr>
            <w:tcW w:w="1757"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产生数量（吨）</w:t>
            </w:r>
          </w:p>
        </w:tc>
        <w:tc>
          <w:tcPr>
            <w:tcW w:w="1305"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转移时间</w:t>
            </w:r>
          </w:p>
        </w:tc>
        <w:tc>
          <w:tcPr>
            <w:tcW w:w="1438"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转移去向</w:t>
            </w:r>
          </w:p>
        </w:tc>
        <w:tc>
          <w:tcPr>
            <w:tcW w:w="1796"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产生部门经办人</w:t>
            </w:r>
          </w:p>
        </w:tc>
        <w:tc>
          <w:tcPr>
            <w:tcW w:w="1690"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运输经办人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843"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617"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277"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243"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57"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305"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438"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9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69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843"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617"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277"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243"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57"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305"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438"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9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69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843"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617"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277"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243"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57"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305"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438"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9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69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r>
    </w:tbl>
    <w:p>
      <w:pPr>
        <w:widowControl w:val="0"/>
        <w:adjustRightInd/>
        <w:snapToGrid w:val="0"/>
        <w:jc w:val="left"/>
        <w:rPr>
          <w:rFonts w:hint="eastAsia" w:ascii="方正仿宋_GBK" w:hAnsi="方正仿宋_GBK" w:eastAsia="方正仿宋_GBK" w:cs="方正仿宋_GBK"/>
          <w:b w:val="0"/>
          <w:bCs w:val="0"/>
          <w:color w:val="auto"/>
          <w:kern w:val="0"/>
          <w:sz w:val="18"/>
          <w:szCs w:val="18"/>
          <w:highlight w:val="none"/>
          <w:lang w:bidi="ar"/>
        </w:rPr>
      </w:pP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 w:val="18"/>
          <w:szCs w:val="18"/>
          <w:highlight w:val="none"/>
          <w:lang w:bidi="ar"/>
        </w:rPr>
        <w:t>注：</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bidi="ar"/>
        </w:rPr>
        <w:t>1.记录表编号：可采用</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产生</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首字母加年月日再加编号的方式设计，例如</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202</w:t>
      </w:r>
      <w:r>
        <w:rPr>
          <w:rFonts w:hint="eastAsia" w:ascii="方正仿宋_GBK" w:hAnsi="方正仿宋_GBK" w:eastAsia="方正仿宋_GBK" w:cs="方正仿宋_GBK"/>
          <w:b w:val="0"/>
          <w:bCs w:val="0"/>
          <w:color w:val="auto"/>
          <w:kern w:val="0"/>
          <w:szCs w:val="21"/>
          <w:highlight w:val="none"/>
          <w:lang w:val="en-US" w:eastAsia="zh-CN" w:bidi="ar"/>
        </w:rPr>
        <w:t>4</w:t>
      </w:r>
      <w:r>
        <w:rPr>
          <w:rFonts w:hint="eastAsia" w:ascii="方正仿宋_GBK" w:hAnsi="方正仿宋_GBK" w:eastAsia="方正仿宋_GBK" w:cs="方正仿宋_GBK"/>
          <w:b w:val="0"/>
          <w:bCs w:val="0"/>
          <w:color w:val="auto"/>
          <w:kern w:val="0"/>
          <w:szCs w:val="21"/>
          <w:highlight w:val="none"/>
          <w:lang w:bidi="ar"/>
        </w:rPr>
        <w:t>1</w:t>
      </w:r>
      <w:r>
        <w:rPr>
          <w:rFonts w:hint="eastAsia" w:ascii="方正仿宋_GBK" w:hAnsi="方正仿宋_GBK" w:eastAsia="方正仿宋_GBK" w:cs="方正仿宋_GBK"/>
          <w:b w:val="0"/>
          <w:bCs w:val="0"/>
          <w:color w:val="auto"/>
          <w:kern w:val="0"/>
          <w:szCs w:val="21"/>
          <w:highlight w:val="none"/>
          <w:lang w:val="en-US" w:eastAsia="zh-CN" w:bidi="ar"/>
        </w:rPr>
        <w:t>0</w:t>
      </w:r>
      <w:r>
        <w:rPr>
          <w:rFonts w:hint="eastAsia" w:ascii="方正仿宋_GBK" w:hAnsi="方正仿宋_GBK" w:eastAsia="方正仿宋_GBK" w:cs="方正仿宋_GBK"/>
          <w:b w:val="0"/>
          <w:bCs w:val="0"/>
          <w:color w:val="auto"/>
          <w:kern w:val="0"/>
          <w:szCs w:val="21"/>
          <w:highlight w:val="none"/>
          <w:lang w:bidi="ar"/>
        </w:rPr>
        <w:t>2001</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，也可根据需要自行设计。</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bidi="ar"/>
        </w:rPr>
        <w:t>2.生产设施编码：填写排污许可证载明的设施编码，无编码的依据HJ608自行编码。无固定产生环节的固体废物，可不填写编码。</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bidi="ar"/>
        </w:rPr>
        <w:t>3.转移去向：是指固体废物在厂内的转移去向，如不经过贮存、利用等环节直接出厂则填写</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出厂</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bidi="ar"/>
        </w:rPr>
        <w:t>4.运输经办人：是指固体废物在厂内的运输经办人员。</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bidi="ar"/>
        </w:rPr>
        <w:t>5.对于废物连续产生的情况，产生时间可按日或按班次计，</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转移时间</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填写</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连续产生</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运输经办人</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项可不填写。</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highlight w:val="none"/>
        </w:rPr>
        <w:br w:type="page"/>
      </w:r>
    </w:p>
    <w:p>
      <w:pPr>
        <w:keepNext w:val="0"/>
        <w:keepLines w:val="0"/>
        <w:widowControl w:val="0"/>
        <w:suppressLineNumbers w:val="0"/>
        <w:adjustRightInd/>
        <w:snapToGrid w:val="0"/>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附表5（选填）</w:t>
      </w:r>
    </w:p>
    <w:p>
      <w:pPr>
        <w:adjustRightInd/>
        <w:snapToGrid w:val="0"/>
        <w:spacing w:line="560" w:lineRule="exact"/>
        <w:ind w:firstLine="640" w:firstLineChars="200"/>
        <w:jc w:val="center"/>
        <w:rPr>
          <w:rFonts w:hint="eastAsia" w:ascii="方正小标宋_GBK" w:hAnsi="方正小标宋_GBK" w:eastAsia="方正小标宋_GBK" w:cs="方正小标宋_GBK"/>
          <w:b w:val="0"/>
          <w:bCs w:val="0"/>
          <w:color w:val="auto"/>
          <w:sz w:val="32"/>
          <w:szCs w:val="32"/>
          <w:highlight w:val="none"/>
        </w:rPr>
      </w:pPr>
      <w:r>
        <w:rPr>
          <w:rFonts w:hint="eastAsia" w:ascii="方正小标宋_GBK" w:hAnsi="方正小标宋_GBK" w:eastAsia="方正小标宋_GBK" w:cs="方正小标宋_GBK"/>
          <w:b w:val="0"/>
          <w:bCs w:val="0"/>
          <w:color w:val="auto"/>
          <w:sz w:val="32"/>
          <w:szCs w:val="32"/>
          <w:highlight w:val="none"/>
        </w:rPr>
        <w:t>一般工业固体废物贮存环节记录表</w:t>
      </w:r>
    </w:p>
    <w:p>
      <w:pPr>
        <w:adjustRightInd/>
        <w:snapToGrid w:val="0"/>
        <w:spacing w:line="560" w:lineRule="exact"/>
        <w:ind w:firstLine="640" w:firstLineChars="200"/>
        <w:jc w:val="center"/>
        <w:rPr>
          <w:rFonts w:hint="eastAsia" w:ascii="方正仿宋_GBK" w:hAnsi="方正仿宋_GBK" w:eastAsia="方正仿宋_GBK" w:cs="方正仿宋_GBK"/>
          <w:b w:val="0"/>
          <w:bCs w:val="0"/>
          <w:color w:val="auto"/>
          <w:sz w:val="32"/>
          <w:szCs w:val="32"/>
          <w:highlight w:val="none"/>
        </w:rPr>
      </w:pP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bidi="ar"/>
        </w:rPr>
        <w:t xml:space="preserve">记录表编号：   </w:t>
      </w:r>
      <w:r>
        <w:rPr>
          <w:rFonts w:hint="eastAsia" w:ascii="方正仿宋_GBK" w:hAnsi="方正仿宋_GBK" w:eastAsia="方正仿宋_GBK" w:cs="方正仿宋_GBK"/>
          <w:b w:val="0"/>
          <w:bCs w:val="0"/>
          <w:color w:val="auto"/>
          <w:kern w:val="0"/>
          <w:szCs w:val="21"/>
          <w:highlight w:val="none"/>
          <w:lang w:val="en-US" w:eastAsia="zh-CN" w:bidi="ar"/>
        </w:rPr>
        <w:t xml:space="preserve">                            </w:t>
      </w:r>
      <w:r>
        <w:rPr>
          <w:rFonts w:hint="eastAsia" w:ascii="方正仿宋_GBK" w:hAnsi="方正仿宋_GBK" w:eastAsia="方正仿宋_GBK" w:cs="方正仿宋_GBK"/>
          <w:b w:val="0"/>
          <w:bCs w:val="0"/>
          <w:color w:val="auto"/>
          <w:kern w:val="0"/>
          <w:szCs w:val="21"/>
          <w:highlight w:val="none"/>
          <w:lang w:bidi="ar"/>
        </w:rPr>
        <w:t xml:space="preserve">    </w:t>
      </w:r>
      <w:r>
        <w:rPr>
          <w:rFonts w:hint="eastAsia" w:ascii="方正仿宋_GBK" w:hAnsi="方正仿宋_GBK" w:eastAsia="方正仿宋_GBK" w:cs="方正仿宋_GBK"/>
          <w:b w:val="0"/>
          <w:bCs w:val="0"/>
          <w:color w:val="auto"/>
          <w:kern w:val="0"/>
          <w:szCs w:val="21"/>
          <w:highlight w:val="none"/>
          <w:lang w:val="en-US" w:eastAsia="zh-CN" w:bidi="ar"/>
        </w:rPr>
        <w:t>贮存</w:t>
      </w:r>
      <w:r>
        <w:rPr>
          <w:rFonts w:hint="eastAsia" w:ascii="方正仿宋_GBK" w:hAnsi="方正仿宋_GBK" w:eastAsia="方正仿宋_GBK" w:cs="方正仿宋_GBK"/>
          <w:b w:val="0"/>
          <w:bCs w:val="0"/>
          <w:color w:val="auto"/>
          <w:kern w:val="0"/>
          <w:szCs w:val="21"/>
          <w:highlight w:val="none"/>
          <w:lang w:bidi="ar"/>
        </w:rPr>
        <w:t xml:space="preserve">设施编码：     </w:t>
      </w:r>
      <w:r>
        <w:rPr>
          <w:rFonts w:hint="eastAsia" w:ascii="方正仿宋_GBK" w:hAnsi="方正仿宋_GBK" w:eastAsia="方正仿宋_GBK" w:cs="方正仿宋_GBK"/>
          <w:b w:val="0"/>
          <w:bCs w:val="0"/>
          <w:color w:val="auto"/>
          <w:kern w:val="0"/>
          <w:szCs w:val="21"/>
          <w:highlight w:val="none"/>
          <w:lang w:val="en-US" w:eastAsia="zh-CN" w:bidi="ar"/>
        </w:rPr>
        <w:t xml:space="preserve">                             </w:t>
      </w:r>
      <w:r>
        <w:rPr>
          <w:rFonts w:hint="eastAsia" w:ascii="方正仿宋_GBK" w:hAnsi="方正仿宋_GBK" w:eastAsia="方正仿宋_GBK" w:cs="方正仿宋_GBK"/>
          <w:b w:val="0"/>
          <w:bCs w:val="0"/>
          <w:color w:val="auto"/>
          <w:kern w:val="0"/>
          <w:szCs w:val="21"/>
          <w:highlight w:val="none"/>
          <w:lang w:bidi="ar"/>
        </w:rPr>
        <w:t xml:space="preserve">          </w:t>
      </w:r>
      <w:r>
        <w:rPr>
          <w:rFonts w:hint="eastAsia" w:ascii="方正仿宋_GBK" w:hAnsi="方正仿宋_GBK" w:eastAsia="方正仿宋_GBK" w:cs="方正仿宋_GBK"/>
          <w:b w:val="0"/>
          <w:bCs w:val="0"/>
          <w:color w:val="auto"/>
          <w:kern w:val="0"/>
          <w:szCs w:val="21"/>
          <w:highlight w:val="none"/>
          <w:lang w:val="en-US" w:eastAsia="zh-CN" w:bidi="ar"/>
        </w:rPr>
        <w:t>贮存</w:t>
      </w:r>
      <w:r>
        <w:rPr>
          <w:rFonts w:hint="eastAsia" w:ascii="方正仿宋_GBK" w:hAnsi="方正仿宋_GBK" w:eastAsia="方正仿宋_GBK" w:cs="方正仿宋_GBK"/>
          <w:b w:val="0"/>
          <w:bCs w:val="0"/>
          <w:color w:val="auto"/>
          <w:kern w:val="0"/>
          <w:szCs w:val="21"/>
          <w:highlight w:val="none"/>
          <w:lang w:bidi="ar"/>
        </w:rPr>
        <w:t xml:space="preserve">部门负责人：    </w:t>
      </w:r>
      <w:r>
        <w:rPr>
          <w:rFonts w:hint="eastAsia" w:ascii="方正仿宋_GBK" w:hAnsi="方正仿宋_GBK" w:eastAsia="方正仿宋_GBK" w:cs="方正仿宋_GBK"/>
          <w:b w:val="0"/>
          <w:bCs w:val="0"/>
          <w:color w:val="auto"/>
          <w:kern w:val="0"/>
          <w:szCs w:val="21"/>
          <w:highlight w:val="none"/>
          <w:lang w:val="en-US" w:eastAsia="zh-CN" w:bidi="ar"/>
        </w:rPr>
        <w:t xml:space="preserve">                         </w:t>
      </w:r>
      <w:r>
        <w:rPr>
          <w:rFonts w:hint="eastAsia" w:ascii="方正仿宋_GBK" w:hAnsi="方正仿宋_GBK" w:eastAsia="方正仿宋_GBK" w:cs="方正仿宋_GBK"/>
          <w:b w:val="0"/>
          <w:bCs w:val="0"/>
          <w:color w:val="auto"/>
          <w:kern w:val="0"/>
          <w:szCs w:val="21"/>
          <w:highlight w:val="none"/>
          <w:lang w:bidi="ar"/>
        </w:rPr>
        <w:t xml:space="preserve">         填表日期：</w:t>
      </w:r>
    </w:p>
    <w:tbl>
      <w:tblPr>
        <w:tblStyle w:val="18"/>
        <w:tblpPr w:leftFromText="180" w:rightFromText="180" w:vertAnchor="text" w:horzAnchor="page" w:tblpXSpec="center" w:tblpY="99"/>
        <w:tblOverlap w:val="never"/>
        <w:tblW w:w="141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1079"/>
        <w:gridCol w:w="1088"/>
        <w:gridCol w:w="1091"/>
        <w:gridCol w:w="1091"/>
        <w:gridCol w:w="1091"/>
        <w:gridCol w:w="1091"/>
        <w:gridCol w:w="1099"/>
        <w:gridCol w:w="1091"/>
        <w:gridCol w:w="1091"/>
        <w:gridCol w:w="1091"/>
        <w:gridCol w:w="1091"/>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8708" w:type="dxa"/>
            <w:gridSpan w:val="8"/>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lang w:bidi="ar"/>
                <w14:ligatures w14:val="none"/>
              </w:rPr>
            </w:pPr>
            <w:r>
              <w:rPr>
                <w:rFonts w:hint="eastAsia" w:ascii="方正仿宋_GBK" w:hAnsi="方正仿宋_GBK" w:eastAsia="方正仿宋_GBK" w:cs="方正仿宋_GBK"/>
                <w:b w:val="0"/>
                <w:bCs w:val="0"/>
                <w:color w:val="auto"/>
                <w:kern w:val="0"/>
                <w:sz w:val="20"/>
                <w:szCs w:val="21"/>
                <w:highlight w:val="none"/>
                <w14:ligatures w14:val="none"/>
              </w:rPr>
              <w:t>入库情况</w:t>
            </w:r>
          </w:p>
        </w:tc>
        <w:tc>
          <w:tcPr>
            <w:tcW w:w="5455" w:type="dxa"/>
            <w:gridSpan w:val="5"/>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lang w:bidi="ar"/>
                <w14:ligatures w14:val="none"/>
              </w:rPr>
            </w:pPr>
            <w:r>
              <w:rPr>
                <w:rFonts w:hint="eastAsia" w:ascii="方正仿宋_GBK" w:hAnsi="方正仿宋_GBK" w:eastAsia="方正仿宋_GBK" w:cs="方正仿宋_GBK"/>
                <w:b w:val="0"/>
                <w:bCs w:val="0"/>
                <w:color w:val="auto"/>
                <w:kern w:val="0"/>
                <w:sz w:val="20"/>
                <w:szCs w:val="21"/>
                <w:highlight w:val="none"/>
                <w14:ligatures w14:val="none"/>
              </w:rPr>
              <w:t>出库情况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1078"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废物来源</w:t>
            </w:r>
          </w:p>
        </w:tc>
        <w:tc>
          <w:tcPr>
            <w:tcW w:w="1079"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前序表单编号</w:t>
            </w:r>
          </w:p>
        </w:tc>
        <w:tc>
          <w:tcPr>
            <w:tcW w:w="1088"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代码</w:t>
            </w:r>
          </w:p>
        </w:tc>
        <w:tc>
          <w:tcPr>
            <w:tcW w:w="1091"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名称</w:t>
            </w:r>
          </w:p>
        </w:tc>
        <w:tc>
          <w:tcPr>
            <w:tcW w:w="1091"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入库时间</w:t>
            </w:r>
          </w:p>
        </w:tc>
        <w:tc>
          <w:tcPr>
            <w:tcW w:w="1091"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入库数量（吨）</w:t>
            </w:r>
          </w:p>
        </w:tc>
        <w:tc>
          <w:tcPr>
            <w:tcW w:w="1091"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运输</w:t>
            </w:r>
          </w:p>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经办人</w:t>
            </w:r>
          </w:p>
        </w:tc>
        <w:tc>
          <w:tcPr>
            <w:tcW w:w="1099"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贮存部门经办人</w:t>
            </w:r>
          </w:p>
        </w:tc>
        <w:tc>
          <w:tcPr>
            <w:tcW w:w="1091"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出库时间</w:t>
            </w:r>
          </w:p>
        </w:tc>
        <w:tc>
          <w:tcPr>
            <w:tcW w:w="1091"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出库数量（吨）</w:t>
            </w:r>
          </w:p>
        </w:tc>
        <w:tc>
          <w:tcPr>
            <w:tcW w:w="1091"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废物去向</w:t>
            </w:r>
          </w:p>
        </w:tc>
        <w:tc>
          <w:tcPr>
            <w:tcW w:w="1091"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贮存部门经办人</w:t>
            </w:r>
          </w:p>
        </w:tc>
        <w:tc>
          <w:tcPr>
            <w:tcW w:w="1091"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运输</w:t>
            </w:r>
          </w:p>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1078"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79"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88"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9"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1078"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79"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88"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9"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1078"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79"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88"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9"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09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r>
    </w:tbl>
    <w:p>
      <w:pPr>
        <w:widowControl w:val="0"/>
        <w:adjustRightInd/>
        <w:snapToGrid w:val="0"/>
        <w:jc w:val="left"/>
        <w:rPr>
          <w:rFonts w:hint="eastAsia" w:ascii="方正仿宋_GBK" w:hAnsi="方正仿宋_GBK" w:eastAsia="方正仿宋_GBK" w:cs="方正仿宋_GBK"/>
          <w:b w:val="0"/>
          <w:bCs w:val="0"/>
          <w:color w:val="auto"/>
          <w:kern w:val="0"/>
          <w:sz w:val="18"/>
          <w:szCs w:val="18"/>
          <w:highlight w:val="none"/>
          <w:lang w:bidi="ar"/>
        </w:rPr>
      </w:pP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 w:val="18"/>
          <w:szCs w:val="18"/>
          <w:highlight w:val="none"/>
          <w:lang w:bidi="ar"/>
        </w:rPr>
        <w:t>注：</w:t>
      </w:r>
    </w:p>
    <w:p>
      <w:pPr>
        <w:widowControl w:val="0"/>
        <w:adjustRightInd/>
        <w:snapToGrid w:val="0"/>
        <w:jc w:val="left"/>
        <w:rPr>
          <w:rFonts w:hint="eastAsia" w:ascii="方正仿宋_GBK" w:hAnsi="方正仿宋_GBK" w:eastAsia="方正仿宋_GBK" w:cs="方正仿宋_GBK"/>
          <w:b w:val="0"/>
          <w:bCs w:val="0"/>
          <w:color w:val="auto"/>
          <w:kern w:val="0"/>
          <w:szCs w:val="21"/>
          <w:highlight w:val="none"/>
          <w:lang w:bidi="ar"/>
        </w:rPr>
      </w:pPr>
      <w:r>
        <w:rPr>
          <w:rFonts w:hint="eastAsia" w:ascii="方正仿宋_GBK" w:hAnsi="方正仿宋_GBK" w:eastAsia="方正仿宋_GBK" w:cs="方正仿宋_GBK"/>
          <w:b w:val="0"/>
          <w:bCs w:val="0"/>
          <w:color w:val="auto"/>
          <w:kern w:val="0"/>
          <w:szCs w:val="21"/>
          <w:highlight w:val="none"/>
          <w:lang w:bidi="ar"/>
        </w:rPr>
        <w:t>1.记录表编号：可采用</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贮存</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首字母加年月日再加编号的方式设计，例如</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ZC202</w:t>
      </w:r>
      <w:r>
        <w:rPr>
          <w:rFonts w:hint="eastAsia" w:ascii="方正仿宋_GBK" w:hAnsi="方正仿宋_GBK" w:eastAsia="方正仿宋_GBK" w:cs="方正仿宋_GBK"/>
          <w:b w:val="0"/>
          <w:bCs w:val="0"/>
          <w:color w:val="auto"/>
          <w:kern w:val="0"/>
          <w:szCs w:val="21"/>
          <w:highlight w:val="none"/>
          <w:lang w:val="en-US" w:eastAsia="zh-CN" w:bidi="ar"/>
        </w:rPr>
        <w:t>4</w:t>
      </w:r>
      <w:r>
        <w:rPr>
          <w:rFonts w:hint="eastAsia" w:ascii="方正仿宋_GBK" w:hAnsi="方正仿宋_GBK" w:eastAsia="方正仿宋_GBK" w:cs="方正仿宋_GBK"/>
          <w:b w:val="0"/>
          <w:bCs w:val="0"/>
          <w:color w:val="auto"/>
          <w:kern w:val="0"/>
          <w:szCs w:val="21"/>
          <w:highlight w:val="none"/>
          <w:lang w:bidi="ar"/>
        </w:rPr>
        <w:t>1</w:t>
      </w:r>
      <w:r>
        <w:rPr>
          <w:rFonts w:hint="eastAsia" w:ascii="方正仿宋_GBK" w:hAnsi="方正仿宋_GBK" w:eastAsia="方正仿宋_GBK" w:cs="方正仿宋_GBK"/>
          <w:b w:val="0"/>
          <w:bCs w:val="0"/>
          <w:color w:val="auto"/>
          <w:kern w:val="0"/>
          <w:szCs w:val="21"/>
          <w:highlight w:val="none"/>
          <w:lang w:val="en-US" w:eastAsia="zh-CN" w:bidi="ar"/>
        </w:rPr>
        <w:t>0</w:t>
      </w:r>
      <w:r>
        <w:rPr>
          <w:rFonts w:hint="eastAsia" w:ascii="方正仿宋_GBK" w:hAnsi="方正仿宋_GBK" w:eastAsia="方正仿宋_GBK" w:cs="方正仿宋_GBK"/>
          <w:b w:val="0"/>
          <w:bCs w:val="0"/>
          <w:color w:val="auto"/>
          <w:kern w:val="0"/>
          <w:szCs w:val="21"/>
          <w:highlight w:val="none"/>
          <w:lang w:bidi="ar"/>
        </w:rPr>
        <w:t>2001</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，也可根据需要自行设计。</w:t>
      </w:r>
    </w:p>
    <w:p>
      <w:pPr>
        <w:widowControl w:val="0"/>
        <w:adjustRightInd/>
        <w:snapToGrid w:val="0"/>
        <w:jc w:val="left"/>
        <w:rPr>
          <w:rFonts w:hint="eastAsia" w:ascii="方正仿宋_GBK" w:hAnsi="方正仿宋_GBK" w:eastAsia="方正仿宋_GBK" w:cs="方正仿宋_GBK"/>
          <w:b w:val="0"/>
          <w:bCs w:val="0"/>
          <w:color w:val="auto"/>
          <w:kern w:val="0"/>
          <w:szCs w:val="21"/>
          <w:highlight w:val="none"/>
          <w:lang w:bidi="ar"/>
        </w:rPr>
      </w:pPr>
      <w:r>
        <w:rPr>
          <w:rFonts w:hint="eastAsia" w:ascii="方正仿宋_GBK" w:hAnsi="方正仿宋_GBK" w:eastAsia="方正仿宋_GBK" w:cs="方正仿宋_GBK"/>
          <w:b w:val="0"/>
          <w:bCs w:val="0"/>
          <w:color w:val="auto"/>
          <w:kern w:val="0"/>
          <w:szCs w:val="21"/>
          <w:highlight w:val="none"/>
          <w:lang w:bidi="ar"/>
        </w:rPr>
        <w:t>2.贮存设施编码：填写排污许可证载明的设施编码，无编码的依据HJ608自行编码。</w:t>
      </w:r>
    </w:p>
    <w:p>
      <w:pPr>
        <w:widowControl w:val="0"/>
        <w:adjustRightInd/>
        <w:snapToGrid w:val="0"/>
        <w:jc w:val="left"/>
        <w:rPr>
          <w:rFonts w:hint="eastAsia" w:ascii="方正仿宋_GBK" w:hAnsi="方正仿宋_GBK" w:eastAsia="方正仿宋_GBK" w:cs="方正仿宋_GBK"/>
          <w:b w:val="0"/>
          <w:bCs w:val="0"/>
          <w:color w:val="auto"/>
          <w:kern w:val="0"/>
          <w:szCs w:val="21"/>
          <w:highlight w:val="none"/>
          <w:lang w:bidi="ar"/>
        </w:rPr>
      </w:pPr>
      <w:r>
        <w:rPr>
          <w:rFonts w:hint="eastAsia" w:ascii="方正仿宋_GBK" w:hAnsi="方正仿宋_GBK" w:eastAsia="方正仿宋_GBK" w:cs="方正仿宋_GBK"/>
          <w:b w:val="0"/>
          <w:bCs w:val="0"/>
          <w:color w:val="auto"/>
          <w:kern w:val="0"/>
          <w:szCs w:val="21"/>
          <w:highlight w:val="none"/>
          <w:lang w:bidi="ar"/>
        </w:rPr>
        <w:t>3.废物来源：填写废物移出设施（废物产生设施或贮存设施）的编码和名称。</w:t>
      </w:r>
    </w:p>
    <w:p>
      <w:pPr>
        <w:widowControl w:val="0"/>
        <w:adjustRightInd/>
        <w:snapToGrid w:val="0"/>
        <w:jc w:val="left"/>
        <w:rPr>
          <w:rFonts w:hint="eastAsia" w:ascii="方正仿宋_GBK" w:hAnsi="方正仿宋_GBK" w:eastAsia="方正仿宋_GBK" w:cs="方正仿宋_GBK"/>
          <w:b w:val="0"/>
          <w:bCs w:val="0"/>
          <w:color w:val="auto"/>
          <w:kern w:val="0"/>
          <w:szCs w:val="21"/>
          <w:highlight w:val="none"/>
          <w:lang w:bidi="ar"/>
        </w:rPr>
      </w:pPr>
      <w:r>
        <w:rPr>
          <w:rFonts w:hint="eastAsia" w:ascii="方正仿宋_GBK" w:hAnsi="方正仿宋_GBK" w:eastAsia="方正仿宋_GBK" w:cs="方正仿宋_GBK"/>
          <w:b w:val="0"/>
          <w:bCs w:val="0"/>
          <w:color w:val="auto"/>
          <w:kern w:val="0"/>
          <w:szCs w:val="21"/>
          <w:highlight w:val="none"/>
          <w:lang w:bidi="ar"/>
        </w:rPr>
        <w:t>4.前序表单编号：如废物来自生产环节，则填写《一般工业固体废物产生环节记录表》的记录表编号；如废物来自贮存环节，则填写本记录表编号。</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bidi="ar"/>
        </w:rPr>
        <w:t>5.如废物为连续产生且经过皮带、管道等方式自动入库而无废物运输经办人，则运输经办人可不填，入库时间可按日计。</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highlight w:val="none"/>
        </w:rPr>
        <w:br w:type="page"/>
      </w:r>
    </w:p>
    <w:p>
      <w:pPr>
        <w:keepNext w:val="0"/>
        <w:keepLines w:val="0"/>
        <w:widowControl w:val="0"/>
        <w:suppressLineNumbers w:val="0"/>
        <w:adjustRightInd/>
        <w:snapToGrid w:val="0"/>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附表6.1（选填）</w:t>
      </w:r>
    </w:p>
    <w:p>
      <w:pPr>
        <w:adjustRightInd/>
        <w:snapToGrid w:val="0"/>
        <w:spacing w:line="560" w:lineRule="exact"/>
        <w:ind w:firstLine="640" w:firstLineChars="200"/>
        <w:jc w:val="center"/>
        <w:rPr>
          <w:rFonts w:hint="eastAsia" w:ascii="方正小标宋_GBK" w:hAnsi="方正小标宋_GBK" w:eastAsia="方正小标宋_GBK" w:cs="方正小标宋_GBK"/>
          <w:b w:val="0"/>
          <w:bCs w:val="0"/>
          <w:color w:val="auto"/>
          <w:sz w:val="32"/>
          <w:szCs w:val="32"/>
          <w:highlight w:val="none"/>
        </w:rPr>
      </w:pPr>
      <w:r>
        <w:rPr>
          <w:rFonts w:hint="eastAsia" w:ascii="方正小标宋_GBK" w:hAnsi="方正小标宋_GBK" w:eastAsia="方正小标宋_GBK" w:cs="方正小标宋_GBK"/>
          <w:b w:val="0"/>
          <w:bCs w:val="0"/>
          <w:color w:val="auto"/>
          <w:sz w:val="32"/>
          <w:szCs w:val="32"/>
          <w:highlight w:val="none"/>
        </w:rPr>
        <w:t>一般工业固体废物自行利用环节记录表（接收）</w:t>
      </w:r>
    </w:p>
    <w:p>
      <w:pPr>
        <w:adjustRightInd/>
        <w:snapToGrid w:val="0"/>
        <w:spacing w:line="560" w:lineRule="exact"/>
        <w:ind w:firstLine="640" w:firstLineChars="200"/>
        <w:jc w:val="center"/>
        <w:rPr>
          <w:rFonts w:ascii="Times New Roman" w:hAnsi="Times New Roman" w:eastAsia="黑体" w:cs="Times New Roman"/>
          <w:b w:val="0"/>
          <w:bCs w:val="0"/>
          <w:color w:val="auto"/>
          <w:sz w:val="32"/>
          <w:szCs w:val="32"/>
          <w:highlight w:val="none"/>
        </w:rPr>
      </w:pP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bidi="ar"/>
        </w:rPr>
        <w:t xml:space="preserve">记录表编号：   </w:t>
      </w:r>
      <w:r>
        <w:rPr>
          <w:rFonts w:hint="eastAsia" w:ascii="方正仿宋_GBK" w:hAnsi="方正仿宋_GBK" w:eastAsia="方正仿宋_GBK" w:cs="方正仿宋_GBK"/>
          <w:b w:val="0"/>
          <w:bCs w:val="0"/>
          <w:color w:val="auto"/>
          <w:kern w:val="0"/>
          <w:szCs w:val="21"/>
          <w:highlight w:val="none"/>
          <w:lang w:val="en-US" w:eastAsia="zh-CN" w:bidi="ar"/>
        </w:rPr>
        <w:t xml:space="preserve">                            </w:t>
      </w:r>
      <w:r>
        <w:rPr>
          <w:rFonts w:hint="eastAsia" w:ascii="方正仿宋_GBK" w:hAnsi="方正仿宋_GBK" w:eastAsia="方正仿宋_GBK" w:cs="方正仿宋_GBK"/>
          <w:b w:val="0"/>
          <w:bCs w:val="0"/>
          <w:color w:val="auto"/>
          <w:kern w:val="0"/>
          <w:szCs w:val="21"/>
          <w:highlight w:val="none"/>
          <w:lang w:bidi="ar"/>
        </w:rPr>
        <w:t xml:space="preserve">    </w:t>
      </w:r>
      <w:r>
        <w:rPr>
          <w:rFonts w:hint="eastAsia" w:ascii="方正仿宋_GBK" w:hAnsi="方正仿宋_GBK" w:eastAsia="方正仿宋_GBK" w:cs="方正仿宋_GBK"/>
          <w:b w:val="0"/>
          <w:bCs w:val="0"/>
          <w:color w:val="auto"/>
          <w:kern w:val="0"/>
          <w:szCs w:val="21"/>
          <w:highlight w:val="none"/>
          <w:lang w:val="en-US" w:eastAsia="zh-CN" w:bidi="ar"/>
        </w:rPr>
        <w:t>自行利用</w:t>
      </w:r>
      <w:r>
        <w:rPr>
          <w:rFonts w:hint="eastAsia" w:ascii="方正仿宋_GBK" w:hAnsi="方正仿宋_GBK" w:eastAsia="方正仿宋_GBK" w:cs="方正仿宋_GBK"/>
          <w:b w:val="0"/>
          <w:bCs w:val="0"/>
          <w:color w:val="auto"/>
          <w:kern w:val="0"/>
          <w:szCs w:val="21"/>
          <w:highlight w:val="none"/>
          <w:lang w:bidi="ar"/>
        </w:rPr>
        <w:t xml:space="preserve">设施编码：     </w:t>
      </w:r>
      <w:r>
        <w:rPr>
          <w:rFonts w:hint="eastAsia" w:ascii="方正仿宋_GBK" w:hAnsi="方正仿宋_GBK" w:eastAsia="方正仿宋_GBK" w:cs="方正仿宋_GBK"/>
          <w:b w:val="0"/>
          <w:bCs w:val="0"/>
          <w:color w:val="auto"/>
          <w:kern w:val="0"/>
          <w:szCs w:val="21"/>
          <w:highlight w:val="none"/>
          <w:lang w:val="en-US" w:eastAsia="zh-CN" w:bidi="ar"/>
        </w:rPr>
        <w:t xml:space="preserve">                             </w:t>
      </w:r>
      <w:r>
        <w:rPr>
          <w:rFonts w:hint="eastAsia" w:ascii="方正仿宋_GBK" w:hAnsi="方正仿宋_GBK" w:eastAsia="方正仿宋_GBK" w:cs="方正仿宋_GBK"/>
          <w:b w:val="0"/>
          <w:bCs w:val="0"/>
          <w:color w:val="auto"/>
          <w:kern w:val="0"/>
          <w:szCs w:val="21"/>
          <w:highlight w:val="none"/>
          <w:lang w:bidi="ar"/>
        </w:rPr>
        <w:t xml:space="preserve">          </w:t>
      </w:r>
      <w:r>
        <w:rPr>
          <w:rFonts w:hint="eastAsia" w:ascii="方正仿宋_GBK" w:hAnsi="方正仿宋_GBK" w:eastAsia="方正仿宋_GBK" w:cs="方正仿宋_GBK"/>
          <w:b w:val="0"/>
          <w:bCs w:val="0"/>
          <w:color w:val="auto"/>
          <w:kern w:val="0"/>
          <w:szCs w:val="21"/>
          <w:highlight w:val="none"/>
          <w:lang w:val="en-US" w:eastAsia="zh-CN" w:bidi="ar"/>
        </w:rPr>
        <w:t>自行利用</w:t>
      </w:r>
      <w:r>
        <w:rPr>
          <w:rFonts w:hint="eastAsia" w:ascii="方正仿宋_GBK" w:hAnsi="方正仿宋_GBK" w:eastAsia="方正仿宋_GBK" w:cs="方正仿宋_GBK"/>
          <w:b w:val="0"/>
          <w:bCs w:val="0"/>
          <w:color w:val="auto"/>
          <w:kern w:val="0"/>
          <w:szCs w:val="21"/>
          <w:highlight w:val="none"/>
          <w:lang w:bidi="ar"/>
        </w:rPr>
        <w:t xml:space="preserve">部门负责人：    </w:t>
      </w:r>
      <w:r>
        <w:rPr>
          <w:rFonts w:hint="eastAsia" w:ascii="方正仿宋_GBK" w:hAnsi="方正仿宋_GBK" w:eastAsia="方正仿宋_GBK" w:cs="方正仿宋_GBK"/>
          <w:b w:val="0"/>
          <w:bCs w:val="0"/>
          <w:color w:val="auto"/>
          <w:kern w:val="0"/>
          <w:szCs w:val="21"/>
          <w:highlight w:val="none"/>
          <w:lang w:val="en-US" w:eastAsia="zh-CN" w:bidi="ar"/>
        </w:rPr>
        <w:t xml:space="preserve">                         </w:t>
      </w:r>
      <w:r>
        <w:rPr>
          <w:rFonts w:hint="eastAsia" w:ascii="方正仿宋_GBK" w:hAnsi="方正仿宋_GBK" w:eastAsia="方正仿宋_GBK" w:cs="方正仿宋_GBK"/>
          <w:b w:val="0"/>
          <w:bCs w:val="0"/>
          <w:color w:val="auto"/>
          <w:kern w:val="0"/>
          <w:szCs w:val="21"/>
          <w:highlight w:val="none"/>
          <w:lang w:bidi="ar"/>
        </w:rPr>
        <w:t xml:space="preserve">         填表日期：</w:t>
      </w:r>
    </w:p>
    <w:tbl>
      <w:tblPr>
        <w:tblStyle w:val="18"/>
        <w:tblpPr w:leftFromText="180" w:rightFromText="180" w:vertAnchor="text" w:horzAnchor="page" w:tblpX="1626" w:tblpY="99"/>
        <w:tblOverlap w:val="never"/>
        <w:tblW w:w="141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1770"/>
        <w:gridCol w:w="1771"/>
        <w:gridCol w:w="1771"/>
        <w:gridCol w:w="1771"/>
        <w:gridCol w:w="1771"/>
        <w:gridCol w:w="1771"/>
        <w:gridCol w:w="1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70"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废物来源</w:t>
            </w:r>
          </w:p>
        </w:tc>
        <w:tc>
          <w:tcPr>
            <w:tcW w:w="1770"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前序表单编号</w:t>
            </w:r>
          </w:p>
        </w:tc>
        <w:tc>
          <w:tcPr>
            <w:tcW w:w="1771"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代码</w:t>
            </w:r>
          </w:p>
        </w:tc>
        <w:tc>
          <w:tcPr>
            <w:tcW w:w="1771"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名称</w:t>
            </w:r>
          </w:p>
        </w:tc>
        <w:tc>
          <w:tcPr>
            <w:tcW w:w="1771"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接收时间</w:t>
            </w:r>
          </w:p>
        </w:tc>
        <w:tc>
          <w:tcPr>
            <w:tcW w:w="1771"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接收数量（吨）</w:t>
            </w:r>
          </w:p>
        </w:tc>
        <w:tc>
          <w:tcPr>
            <w:tcW w:w="1771"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运输经办人</w:t>
            </w:r>
          </w:p>
        </w:tc>
        <w:tc>
          <w:tcPr>
            <w:tcW w:w="1776"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自行利用</w:t>
            </w:r>
          </w:p>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部门经办人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7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7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7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7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r>
    </w:tbl>
    <w:p>
      <w:pPr>
        <w:widowControl w:val="0"/>
        <w:adjustRightInd/>
        <w:snapToGrid w:val="0"/>
        <w:jc w:val="left"/>
        <w:rPr>
          <w:rFonts w:hint="eastAsia" w:ascii="方正仿宋_GBK" w:hAnsi="方正仿宋_GBK" w:eastAsia="方正仿宋_GBK" w:cs="方正仿宋_GBK"/>
          <w:b w:val="0"/>
          <w:bCs w:val="0"/>
          <w:color w:val="auto"/>
          <w:kern w:val="0"/>
          <w:sz w:val="18"/>
          <w:szCs w:val="18"/>
          <w:highlight w:val="none"/>
          <w:lang w:bidi="ar"/>
        </w:rPr>
      </w:pP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 w:val="18"/>
          <w:szCs w:val="18"/>
          <w:highlight w:val="none"/>
          <w:lang w:bidi="ar"/>
        </w:rPr>
        <w:t>注：</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bidi="ar"/>
        </w:rPr>
        <w:t>1.记录表编号：可采用</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接收</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首字母加年月日再加编号的方式设计，例如</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JS202</w:t>
      </w:r>
      <w:r>
        <w:rPr>
          <w:rFonts w:hint="eastAsia" w:ascii="方正仿宋_GBK" w:hAnsi="方正仿宋_GBK" w:eastAsia="方正仿宋_GBK" w:cs="方正仿宋_GBK"/>
          <w:b w:val="0"/>
          <w:bCs w:val="0"/>
          <w:color w:val="auto"/>
          <w:kern w:val="0"/>
          <w:szCs w:val="21"/>
          <w:highlight w:val="none"/>
          <w:lang w:val="en-US" w:eastAsia="zh-CN" w:bidi="ar"/>
        </w:rPr>
        <w:t>4</w:t>
      </w:r>
      <w:r>
        <w:rPr>
          <w:rFonts w:hint="eastAsia" w:ascii="方正仿宋_GBK" w:hAnsi="方正仿宋_GBK" w:eastAsia="方正仿宋_GBK" w:cs="方正仿宋_GBK"/>
          <w:b w:val="0"/>
          <w:bCs w:val="0"/>
          <w:color w:val="auto"/>
          <w:kern w:val="0"/>
          <w:szCs w:val="21"/>
          <w:highlight w:val="none"/>
          <w:lang w:bidi="ar"/>
        </w:rPr>
        <w:t>1</w:t>
      </w:r>
      <w:r>
        <w:rPr>
          <w:rFonts w:hint="eastAsia" w:ascii="方正仿宋_GBK" w:hAnsi="方正仿宋_GBK" w:eastAsia="方正仿宋_GBK" w:cs="方正仿宋_GBK"/>
          <w:b w:val="0"/>
          <w:bCs w:val="0"/>
          <w:color w:val="auto"/>
          <w:kern w:val="0"/>
          <w:szCs w:val="21"/>
          <w:highlight w:val="none"/>
          <w:lang w:val="en-US" w:eastAsia="zh-CN" w:bidi="ar"/>
        </w:rPr>
        <w:t>0</w:t>
      </w:r>
      <w:r>
        <w:rPr>
          <w:rFonts w:hint="eastAsia" w:ascii="方正仿宋_GBK" w:hAnsi="方正仿宋_GBK" w:eastAsia="方正仿宋_GBK" w:cs="方正仿宋_GBK"/>
          <w:b w:val="0"/>
          <w:bCs w:val="0"/>
          <w:color w:val="auto"/>
          <w:kern w:val="0"/>
          <w:szCs w:val="21"/>
          <w:highlight w:val="none"/>
          <w:lang w:bidi="ar"/>
        </w:rPr>
        <w:t>2001</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，也可根据需要自行设计。</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bidi="ar"/>
        </w:rPr>
        <w:t>2.自行利用设施编码：填写排污许可证载明的设施编码，无编码的依据HJ608自行编码。</w:t>
      </w:r>
    </w:p>
    <w:p>
      <w:pPr>
        <w:widowControl w:val="0"/>
        <w:adjustRightInd/>
        <w:snapToGrid w:val="0"/>
        <w:jc w:val="left"/>
        <w:rPr>
          <w:rFonts w:hint="eastAsia" w:ascii="方正仿宋_GBK" w:hAnsi="方正仿宋_GBK" w:eastAsia="方正仿宋_GBK" w:cs="方正仿宋_GBK"/>
          <w:b w:val="0"/>
          <w:bCs w:val="0"/>
          <w:color w:val="auto"/>
          <w:kern w:val="0"/>
          <w:szCs w:val="21"/>
          <w:highlight w:val="none"/>
          <w:lang w:bidi="ar"/>
        </w:rPr>
      </w:pPr>
      <w:r>
        <w:rPr>
          <w:rFonts w:hint="eastAsia" w:ascii="方正仿宋_GBK" w:hAnsi="方正仿宋_GBK" w:eastAsia="方正仿宋_GBK" w:cs="方正仿宋_GBK"/>
          <w:b w:val="0"/>
          <w:bCs w:val="0"/>
          <w:color w:val="auto"/>
          <w:kern w:val="0"/>
          <w:szCs w:val="21"/>
          <w:highlight w:val="none"/>
          <w:lang w:bidi="ar"/>
        </w:rPr>
        <w:t>3.前序表单编号：如废物来自生产环节，则填写《一般工业固体废物产生环节记录表》的记录表编号；如废物来自贮存环节，则填写《一般工业固体废物贮存环节记录表》的记录表编号。</w:t>
      </w:r>
    </w:p>
    <w:p>
      <w:pPr>
        <w:widowControl w:val="0"/>
        <w:adjustRightInd/>
        <w:snapToGrid w:val="0"/>
        <w:jc w:val="left"/>
        <w:rPr>
          <w:rFonts w:hint="eastAsia" w:ascii="方正仿宋_GBK" w:hAnsi="方正仿宋_GBK" w:eastAsia="方正仿宋_GBK" w:cs="方正仿宋_GBK"/>
          <w:b w:val="0"/>
          <w:bCs w:val="0"/>
          <w:color w:val="auto"/>
          <w:kern w:val="0"/>
          <w:szCs w:val="21"/>
          <w:highlight w:val="none"/>
          <w:lang w:bidi="ar"/>
        </w:rPr>
      </w:pPr>
      <w:r>
        <w:rPr>
          <w:rFonts w:hint="eastAsia" w:ascii="方正仿宋_GBK" w:hAnsi="方正仿宋_GBK" w:eastAsia="方正仿宋_GBK" w:cs="方正仿宋_GBK"/>
          <w:b w:val="0"/>
          <w:bCs w:val="0"/>
          <w:color w:val="auto"/>
          <w:kern w:val="0"/>
          <w:szCs w:val="21"/>
          <w:highlight w:val="none"/>
          <w:lang w:bidi="ar"/>
        </w:rPr>
        <w:t>4.运输经办人：是指固体废物在厂内的运输经办人员。</w:t>
      </w:r>
    </w:p>
    <w:p>
      <w:pPr>
        <w:widowControl w:val="0"/>
        <w:adjustRightInd/>
        <w:snapToGrid w:val="0"/>
        <w:jc w:val="left"/>
        <w:rPr>
          <w:rFonts w:hint="eastAsia" w:ascii="方正仿宋_GBK" w:hAnsi="方正仿宋_GBK" w:eastAsia="方正仿宋_GBK" w:cs="方正仿宋_GBK"/>
          <w:b w:val="0"/>
          <w:bCs w:val="0"/>
          <w:color w:val="auto"/>
          <w:kern w:val="0"/>
          <w:szCs w:val="21"/>
          <w:highlight w:val="none"/>
          <w:lang w:bidi="ar"/>
        </w:rPr>
      </w:pPr>
      <w:r>
        <w:rPr>
          <w:rFonts w:hint="eastAsia" w:ascii="方正仿宋_GBK" w:hAnsi="方正仿宋_GBK" w:eastAsia="方正仿宋_GBK" w:cs="方正仿宋_GBK"/>
          <w:b w:val="0"/>
          <w:bCs w:val="0"/>
          <w:color w:val="auto"/>
          <w:kern w:val="0"/>
          <w:szCs w:val="21"/>
          <w:highlight w:val="none"/>
          <w:lang w:bidi="ar"/>
        </w:rPr>
        <w:br w:type="page"/>
      </w:r>
    </w:p>
    <w:p>
      <w:pPr>
        <w:keepNext w:val="0"/>
        <w:keepLines w:val="0"/>
        <w:widowControl w:val="0"/>
        <w:suppressLineNumbers w:val="0"/>
        <w:adjustRightInd/>
        <w:snapToGrid w:val="0"/>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附表6.2（选填）</w:t>
      </w:r>
    </w:p>
    <w:p>
      <w:pPr>
        <w:adjustRightInd/>
        <w:snapToGrid w:val="0"/>
        <w:spacing w:line="560" w:lineRule="exact"/>
        <w:ind w:firstLine="640" w:firstLineChars="200"/>
        <w:jc w:val="center"/>
        <w:rPr>
          <w:rFonts w:hint="eastAsia" w:ascii="方正小标宋_GBK" w:hAnsi="方正小标宋_GBK" w:eastAsia="方正小标宋_GBK" w:cs="方正小标宋_GBK"/>
          <w:b w:val="0"/>
          <w:bCs w:val="0"/>
          <w:color w:val="auto"/>
          <w:sz w:val="32"/>
          <w:szCs w:val="32"/>
          <w:highlight w:val="none"/>
        </w:rPr>
      </w:pPr>
      <w:r>
        <w:rPr>
          <w:rFonts w:hint="eastAsia" w:ascii="方正小标宋_GBK" w:hAnsi="方正小标宋_GBK" w:eastAsia="方正小标宋_GBK" w:cs="方正小标宋_GBK"/>
          <w:b w:val="0"/>
          <w:bCs w:val="0"/>
          <w:color w:val="auto"/>
          <w:sz w:val="32"/>
          <w:szCs w:val="32"/>
          <w:highlight w:val="none"/>
        </w:rPr>
        <w:t>一般工业固体废物自行利用环节记录表（运出）</w:t>
      </w:r>
    </w:p>
    <w:p>
      <w:pPr>
        <w:adjustRightInd/>
        <w:snapToGrid w:val="0"/>
        <w:spacing w:line="560" w:lineRule="exact"/>
        <w:ind w:firstLine="640" w:firstLineChars="200"/>
        <w:jc w:val="center"/>
        <w:rPr>
          <w:rFonts w:hint="eastAsia" w:ascii="方正仿宋_GBK" w:hAnsi="方正仿宋_GBK" w:eastAsia="方正仿宋_GBK" w:cs="方正仿宋_GBK"/>
          <w:b w:val="0"/>
          <w:bCs w:val="0"/>
          <w:color w:val="auto"/>
          <w:sz w:val="32"/>
          <w:szCs w:val="32"/>
          <w:highlight w:val="none"/>
        </w:rPr>
      </w:pP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bidi="ar"/>
        </w:rPr>
        <w:t xml:space="preserve">记录表编号：   </w:t>
      </w:r>
      <w:r>
        <w:rPr>
          <w:rFonts w:hint="eastAsia" w:ascii="方正仿宋_GBK" w:hAnsi="方正仿宋_GBK" w:eastAsia="方正仿宋_GBK" w:cs="方正仿宋_GBK"/>
          <w:b w:val="0"/>
          <w:bCs w:val="0"/>
          <w:color w:val="auto"/>
          <w:kern w:val="0"/>
          <w:szCs w:val="21"/>
          <w:highlight w:val="none"/>
          <w:lang w:val="en-US" w:eastAsia="zh-CN" w:bidi="ar"/>
        </w:rPr>
        <w:t xml:space="preserve">                            </w:t>
      </w:r>
      <w:r>
        <w:rPr>
          <w:rFonts w:hint="eastAsia" w:ascii="方正仿宋_GBK" w:hAnsi="方正仿宋_GBK" w:eastAsia="方正仿宋_GBK" w:cs="方正仿宋_GBK"/>
          <w:b w:val="0"/>
          <w:bCs w:val="0"/>
          <w:color w:val="auto"/>
          <w:kern w:val="0"/>
          <w:szCs w:val="21"/>
          <w:highlight w:val="none"/>
          <w:lang w:bidi="ar"/>
        </w:rPr>
        <w:t xml:space="preserve">    </w:t>
      </w:r>
      <w:r>
        <w:rPr>
          <w:rFonts w:hint="eastAsia" w:ascii="方正仿宋_GBK" w:hAnsi="方正仿宋_GBK" w:eastAsia="方正仿宋_GBK" w:cs="方正仿宋_GBK"/>
          <w:b w:val="0"/>
          <w:bCs w:val="0"/>
          <w:color w:val="auto"/>
          <w:kern w:val="0"/>
          <w:szCs w:val="21"/>
          <w:highlight w:val="none"/>
          <w:lang w:val="en-US" w:eastAsia="zh-CN" w:bidi="ar"/>
        </w:rPr>
        <w:t>自行利用</w:t>
      </w:r>
      <w:r>
        <w:rPr>
          <w:rFonts w:hint="eastAsia" w:ascii="方正仿宋_GBK" w:hAnsi="方正仿宋_GBK" w:eastAsia="方正仿宋_GBK" w:cs="方正仿宋_GBK"/>
          <w:b w:val="0"/>
          <w:bCs w:val="0"/>
          <w:color w:val="auto"/>
          <w:kern w:val="0"/>
          <w:szCs w:val="21"/>
          <w:highlight w:val="none"/>
          <w:lang w:bidi="ar"/>
        </w:rPr>
        <w:t xml:space="preserve">设施编码：     </w:t>
      </w:r>
      <w:r>
        <w:rPr>
          <w:rFonts w:hint="eastAsia" w:ascii="方正仿宋_GBK" w:hAnsi="方正仿宋_GBK" w:eastAsia="方正仿宋_GBK" w:cs="方正仿宋_GBK"/>
          <w:b w:val="0"/>
          <w:bCs w:val="0"/>
          <w:color w:val="auto"/>
          <w:kern w:val="0"/>
          <w:szCs w:val="21"/>
          <w:highlight w:val="none"/>
          <w:lang w:val="en-US" w:eastAsia="zh-CN" w:bidi="ar"/>
        </w:rPr>
        <w:t xml:space="preserve">                             </w:t>
      </w:r>
      <w:r>
        <w:rPr>
          <w:rFonts w:hint="eastAsia" w:ascii="方正仿宋_GBK" w:hAnsi="方正仿宋_GBK" w:eastAsia="方正仿宋_GBK" w:cs="方正仿宋_GBK"/>
          <w:b w:val="0"/>
          <w:bCs w:val="0"/>
          <w:color w:val="auto"/>
          <w:kern w:val="0"/>
          <w:szCs w:val="21"/>
          <w:highlight w:val="none"/>
          <w:lang w:bidi="ar"/>
        </w:rPr>
        <w:t xml:space="preserve">          </w:t>
      </w:r>
      <w:r>
        <w:rPr>
          <w:rFonts w:hint="eastAsia" w:ascii="方正仿宋_GBK" w:hAnsi="方正仿宋_GBK" w:eastAsia="方正仿宋_GBK" w:cs="方正仿宋_GBK"/>
          <w:b w:val="0"/>
          <w:bCs w:val="0"/>
          <w:color w:val="auto"/>
          <w:kern w:val="0"/>
          <w:szCs w:val="21"/>
          <w:highlight w:val="none"/>
          <w:lang w:val="en-US" w:eastAsia="zh-CN" w:bidi="ar"/>
        </w:rPr>
        <w:t>自行利用</w:t>
      </w:r>
      <w:r>
        <w:rPr>
          <w:rFonts w:hint="eastAsia" w:ascii="方正仿宋_GBK" w:hAnsi="方正仿宋_GBK" w:eastAsia="方正仿宋_GBK" w:cs="方正仿宋_GBK"/>
          <w:b w:val="0"/>
          <w:bCs w:val="0"/>
          <w:color w:val="auto"/>
          <w:kern w:val="0"/>
          <w:szCs w:val="21"/>
          <w:highlight w:val="none"/>
          <w:lang w:bidi="ar"/>
        </w:rPr>
        <w:t xml:space="preserve">部门负责人：    </w:t>
      </w:r>
      <w:r>
        <w:rPr>
          <w:rFonts w:hint="eastAsia" w:ascii="方正仿宋_GBK" w:hAnsi="方正仿宋_GBK" w:eastAsia="方正仿宋_GBK" w:cs="方正仿宋_GBK"/>
          <w:b w:val="0"/>
          <w:bCs w:val="0"/>
          <w:color w:val="auto"/>
          <w:kern w:val="0"/>
          <w:szCs w:val="21"/>
          <w:highlight w:val="none"/>
          <w:lang w:val="en-US" w:eastAsia="zh-CN" w:bidi="ar"/>
        </w:rPr>
        <w:t xml:space="preserve">                         </w:t>
      </w:r>
      <w:r>
        <w:rPr>
          <w:rFonts w:hint="eastAsia" w:ascii="方正仿宋_GBK" w:hAnsi="方正仿宋_GBK" w:eastAsia="方正仿宋_GBK" w:cs="方正仿宋_GBK"/>
          <w:b w:val="0"/>
          <w:bCs w:val="0"/>
          <w:color w:val="auto"/>
          <w:kern w:val="0"/>
          <w:szCs w:val="21"/>
          <w:highlight w:val="none"/>
          <w:lang w:bidi="ar"/>
        </w:rPr>
        <w:t xml:space="preserve">         填表日期：</w:t>
      </w:r>
    </w:p>
    <w:tbl>
      <w:tblPr>
        <w:tblStyle w:val="18"/>
        <w:tblpPr w:leftFromText="180" w:rightFromText="180" w:vertAnchor="text" w:horzAnchor="page" w:tblpX="1626" w:tblpY="99"/>
        <w:tblOverlap w:val="never"/>
        <w:tblW w:w="141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1"/>
        <w:gridCol w:w="2361"/>
        <w:gridCol w:w="2361"/>
        <w:gridCol w:w="2361"/>
        <w:gridCol w:w="2362"/>
        <w:gridCol w:w="2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2361"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利用产物名称</w:t>
            </w:r>
          </w:p>
        </w:tc>
        <w:tc>
          <w:tcPr>
            <w:tcW w:w="2361"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运出时间</w:t>
            </w:r>
          </w:p>
        </w:tc>
        <w:tc>
          <w:tcPr>
            <w:tcW w:w="2361"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运出数量（单位）</w:t>
            </w:r>
          </w:p>
        </w:tc>
        <w:tc>
          <w:tcPr>
            <w:tcW w:w="2361"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运出去向</w:t>
            </w:r>
          </w:p>
        </w:tc>
        <w:tc>
          <w:tcPr>
            <w:tcW w:w="2362"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自行利用部门经办人</w:t>
            </w:r>
          </w:p>
        </w:tc>
        <w:tc>
          <w:tcPr>
            <w:tcW w:w="2362"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运输经办人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236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236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236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236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2362"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2362"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236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236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236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236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2362"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2362"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236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236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236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236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2362"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2362"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236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236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236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236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2362"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2362"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r>
    </w:tbl>
    <w:p>
      <w:pPr>
        <w:widowControl w:val="0"/>
        <w:adjustRightInd/>
        <w:snapToGrid w:val="0"/>
        <w:jc w:val="left"/>
        <w:rPr>
          <w:rFonts w:hint="eastAsia" w:ascii="方正仿宋_GBK" w:hAnsi="方正仿宋_GBK" w:eastAsia="方正仿宋_GBK" w:cs="方正仿宋_GBK"/>
          <w:b w:val="0"/>
          <w:bCs w:val="0"/>
          <w:color w:val="auto"/>
          <w:kern w:val="0"/>
          <w:sz w:val="18"/>
          <w:szCs w:val="18"/>
          <w:highlight w:val="none"/>
          <w:lang w:bidi="ar"/>
        </w:rPr>
      </w:pP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 w:val="18"/>
          <w:szCs w:val="18"/>
          <w:highlight w:val="none"/>
          <w:lang w:bidi="ar"/>
        </w:rPr>
        <w:t>注：</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bidi="ar"/>
        </w:rPr>
        <w:t>1.记录表编号：可采用</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运出</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首字母加年月日再加编号的方式设计，例如</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YC202</w:t>
      </w:r>
      <w:r>
        <w:rPr>
          <w:rFonts w:hint="eastAsia" w:ascii="方正仿宋_GBK" w:hAnsi="方正仿宋_GBK" w:eastAsia="方正仿宋_GBK" w:cs="方正仿宋_GBK"/>
          <w:b w:val="0"/>
          <w:bCs w:val="0"/>
          <w:color w:val="auto"/>
          <w:kern w:val="0"/>
          <w:szCs w:val="21"/>
          <w:highlight w:val="none"/>
          <w:lang w:val="en-US" w:eastAsia="zh-CN" w:bidi="ar"/>
        </w:rPr>
        <w:t>4</w:t>
      </w:r>
      <w:r>
        <w:rPr>
          <w:rFonts w:hint="eastAsia" w:ascii="方正仿宋_GBK" w:hAnsi="方正仿宋_GBK" w:eastAsia="方正仿宋_GBK" w:cs="方正仿宋_GBK"/>
          <w:b w:val="0"/>
          <w:bCs w:val="0"/>
          <w:color w:val="auto"/>
          <w:kern w:val="0"/>
          <w:szCs w:val="21"/>
          <w:highlight w:val="none"/>
          <w:lang w:bidi="ar"/>
        </w:rPr>
        <w:t>1</w:t>
      </w:r>
      <w:r>
        <w:rPr>
          <w:rFonts w:hint="eastAsia" w:ascii="方正仿宋_GBK" w:hAnsi="方正仿宋_GBK" w:eastAsia="方正仿宋_GBK" w:cs="方正仿宋_GBK"/>
          <w:b w:val="0"/>
          <w:bCs w:val="0"/>
          <w:color w:val="auto"/>
          <w:kern w:val="0"/>
          <w:szCs w:val="21"/>
          <w:highlight w:val="none"/>
          <w:lang w:val="en-US" w:eastAsia="zh-CN" w:bidi="ar"/>
        </w:rPr>
        <w:t>0</w:t>
      </w:r>
      <w:r>
        <w:rPr>
          <w:rFonts w:hint="eastAsia" w:ascii="方正仿宋_GBK" w:hAnsi="方正仿宋_GBK" w:eastAsia="方正仿宋_GBK" w:cs="方正仿宋_GBK"/>
          <w:b w:val="0"/>
          <w:bCs w:val="0"/>
          <w:color w:val="auto"/>
          <w:kern w:val="0"/>
          <w:szCs w:val="21"/>
          <w:highlight w:val="none"/>
          <w:lang w:bidi="ar"/>
        </w:rPr>
        <w:t>2001</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，也可根据需要自行设计。</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bidi="ar"/>
        </w:rPr>
        <w:t>2.运出去向：根据实际情况填写，利用产物可企业自用，也可对外销售等。</w:t>
      </w:r>
    </w:p>
    <w:p>
      <w:pPr>
        <w:widowControl w:val="0"/>
        <w:adjustRightInd/>
        <w:snapToGrid w:val="0"/>
        <w:jc w:val="left"/>
        <w:rPr>
          <w:rFonts w:hint="eastAsia" w:ascii="方正仿宋_GBK" w:hAnsi="方正仿宋_GBK" w:eastAsia="方正仿宋_GBK" w:cs="方正仿宋_GBK"/>
          <w:b w:val="0"/>
          <w:bCs w:val="0"/>
          <w:color w:val="auto"/>
          <w:kern w:val="0"/>
          <w:szCs w:val="21"/>
          <w:highlight w:val="none"/>
          <w:lang w:bidi="ar"/>
        </w:rPr>
      </w:pPr>
      <w:r>
        <w:rPr>
          <w:rFonts w:hint="eastAsia" w:ascii="方正仿宋_GBK" w:hAnsi="方正仿宋_GBK" w:eastAsia="方正仿宋_GBK" w:cs="方正仿宋_GBK"/>
          <w:b w:val="0"/>
          <w:bCs w:val="0"/>
          <w:color w:val="auto"/>
          <w:kern w:val="0"/>
          <w:szCs w:val="21"/>
          <w:highlight w:val="none"/>
          <w:lang w:bidi="ar"/>
        </w:rPr>
        <w:t>3.运输经办人：可根据实际情况，填写厂内运输经办人或出厂运输经办人。</w:t>
      </w:r>
    </w:p>
    <w:p>
      <w:pPr>
        <w:widowControl w:val="0"/>
        <w:adjustRightInd/>
        <w:snapToGrid w:val="0"/>
        <w:jc w:val="left"/>
        <w:rPr>
          <w:rFonts w:hint="eastAsia" w:ascii="方正仿宋_GBK" w:hAnsi="方正仿宋_GBK" w:eastAsia="方正仿宋_GBK" w:cs="方正仿宋_GBK"/>
          <w:b w:val="0"/>
          <w:bCs w:val="0"/>
          <w:color w:val="auto"/>
          <w:kern w:val="0"/>
          <w:szCs w:val="21"/>
          <w:highlight w:val="none"/>
          <w:lang w:bidi="ar"/>
        </w:rPr>
      </w:pPr>
      <w:r>
        <w:rPr>
          <w:rFonts w:hint="eastAsia" w:ascii="方正仿宋_GBK" w:hAnsi="方正仿宋_GBK" w:eastAsia="方正仿宋_GBK" w:cs="方正仿宋_GBK"/>
          <w:b w:val="0"/>
          <w:bCs w:val="0"/>
          <w:color w:val="auto"/>
          <w:kern w:val="0"/>
          <w:szCs w:val="21"/>
          <w:highlight w:val="none"/>
          <w:lang w:bidi="ar"/>
        </w:rPr>
        <w:br w:type="page"/>
      </w:r>
    </w:p>
    <w:p>
      <w:pPr>
        <w:keepNext w:val="0"/>
        <w:keepLines w:val="0"/>
        <w:widowControl w:val="0"/>
        <w:suppressLineNumbers w:val="0"/>
        <w:adjustRightInd/>
        <w:snapToGrid w:val="0"/>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附表7（选填）</w:t>
      </w:r>
    </w:p>
    <w:p>
      <w:pPr>
        <w:adjustRightInd/>
        <w:snapToGrid w:val="0"/>
        <w:spacing w:line="560" w:lineRule="exact"/>
        <w:ind w:firstLine="640" w:firstLineChars="200"/>
        <w:jc w:val="center"/>
        <w:rPr>
          <w:rFonts w:hint="eastAsia" w:ascii="方正小标宋_GBK" w:hAnsi="方正小标宋_GBK" w:eastAsia="方正小标宋_GBK" w:cs="方正小标宋_GBK"/>
          <w:b w:val="0"/>
          <w:bCs w:val="0"/>
          <w:color w:val="auto"/>
          <w:sz w:val="32"/>
          <w:szCs w:val="32"/>
          <w:highlight w:val="none"/>
        </w:rPr>
      </w:pPr>
      <w:r>
        <w:rPr>
          <w:rFonts w:hint="eastAsia" w:ascii="方正小标宋_GBK" w:hAnsi="方正小标宋_GBK" w:eastAsia="方正小标宋_GBK" w:cs="方正小标宋_GBK"/>
          <w:b w:val="0"/>
          <w:bCs w:val="0"/>
          <w:color w:val="auto"/>
          <w:sz w:val="32"/>
          <w:szCs w:val="32"/>
          <w:highlight w:val="none"/>
        </w:rPr>
        <w:t>一般工业固体废物自行处置环节记录表</w:t>
      </w:r>
    </w:p>
    <w:p>
      <w:pPr>
        <w:adjustRightInd/>
        <w:snapToGrid w:val="0"/>
        <w:spacing w:line="560" w:lineRule="exact"/>
        <w:ind w:firstLine="640" w:firstLineChars="200"/>
        <w:jc w:val="center"/>
        <w:rPr>
          <w:rFonts w:hint="eastAsia" w:ascii="方正仿宋_GBK" w:hAnsi="方正仿宋_GBK" w:eastAsia="方正仿宋_GBK" w:cs="方正仿宋_GBK"/>
          <w:b w:val="0"/>
          <w:bCs w:val="0"/>
          <w:color w:val="auto"/>
          <w:sz w:val="32"/>
          <w:szCs w:val="32"/>
          <w:highlight w:val="none"/>
        </w:rPr>
      </w:pP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bidi="ar"/>
        </w:rPr>
        <w:t xml:space="preserve">记录表编号：   </w:t>
      </w:r>
      <w:r>
        <w:rPr>
          <w:rFonts w:hint="eastAsia" w:ascii="方正仿宋_GBK" w:hAnsi="方正仿宋_GBK" w:eastAsia="方正仿宋_GBK" w:cs="方正仿宋_GBK"/>
          <w:b w:val="0"/>
          <w:bCs w:val="0"/>
          <w:color w:val="auto"/>
          <w:kern w:val="0"/>
          <w:szCs w:val="21"/>
          <w:highlight w:val="none"/>
          <w:lang w:val="en-US" w:eastAsia="zh-CN" w:bidi="ar"/>
        </w:rPr>
        <w:t xml:space="preserve">                            </w:t>
      </w:r>
      <w:r>
        <w:rPr>
          <w:rFonts w:hint="eastAsia" w:ascii="方正仿宋_GBK" w:hAnsi="方正仿宋_GBK" w:eastAsia="方正仿宋_GBK" w:cs="方正仿宋_GBK"/>
          <w:b w:val="0"/>
          <w:bCs w:val="0"/>
          <w:color w:val="auto"/>
          <w:kern w:val="0"/>
          <w:szCs w:val="21"/>
          <w:highlight w:val="none"/>
          <w:lang w:bidi="ar"/>
        </w:rPr>
        <w:t xml:space="preserve">    </w:t>
      </w:r>
      <w:r>
        <w:rPr>
          <w:rFonts w:hint="eastAsia" w:ascii="方正仿宋_GBK" w:hAnsi="方正仿宋_GBK" w:eastAsia="方正仿宋_GBK" w:cs="方正仿宋_GBK"/>
          <w:b w:val="0"/>
          <w:bCs w:val="0"/>
          <w:color w:val="auto"/>
          <w:kern w:val="0"/>
          <w:szCs w:val="21"/>
          <w:highlight w:val="none"/>
          <w:lang w:val="en-US" w:eastAsia="zh-CN" w:bidi="ar"/>
        </w:rPr>
        <w:t>自行处置</w:t>
      </w:r>
      <w:r>
        <w:rPr>
          <w:rFonts w:hint="eastAsia" w:ascii="方正仿宋_GBK" w:hAnsi="方正仿宋_GBK" w:eastAsia="方正仿宋_GBK" w:cs="方正仿宋_GBK"/>
          <w:b w:val="0"/>
          <w:bCs w:val="0"/>
          <w:color w:val="auto"/>
          <w:kern w:val="0"/>
          <w:szCs w:val="21"/>
          <w:highlight w:val="none"/>
          <w:lang w:bidi="ar"/>
        </w:rPr>
        <w:t xml:space="preserve">设施编码：     </w:t>
      </w:r>
      <w:r>
        <w:rPr>
          <w:rFonts w:hint="eastAsia" w:ascii="方正仿宋_GBK" w:hAnsi="方正仿宋_GBK" w:eastAsia="方正仿宋_GBK" w:cs="方正仿宋_GBK"/>
          <w:b w:val="0"/>
          <w:bCs w:val="0"/>
          <w:color w:val="auto"/>
          <w:kern w:val="0"/>
          <w:szCs w:val="21"/>
          <w:highlight w:val="none"/>
          <w:lang w:val="en-US" w:eastAsia="zh-CN" w:bidi="ar"/>
        </w:rPr>
        <w:t xml:space="preserve">                             </w:t>
      </w:r>
      <w:r>
        <w:rPr>
          <w:rFonts w:hint="eastAsia" w:ascii="方正仿宋_GBK" w:hAnsi="方正仿宋_GBK" w:eastAsia="方正仿宋_GBK" w:cs="方正仿宋_GBK"/>
          <w:b w:val="0"/>
          <w:bCs w:val="0"/>
          <w:color w:val="auto"/>
          <w:kern w:val="0"/>
          <w:szCs w:val="21"/>
          <w:highlight w:val="none"/>
          <w:lang w:bidi="ar"/>
        </w:rPr>
        <w:t xml:space="preserve">          </w:t>
      </w:r>
      <w:r>
        <w:rPr>
          <w:rFonts w:hint="eastAsia" w:ascii="方正仿宋_GBK" w:hAnsi="方正仿宋_GBK" w:eastAsia="方正仿宋_GBK" w:cs="方正仿宋_GBK"/>
          <w:b w:val="0"/>
          <w:bCs w:val="0"/>
          <w:color w:val="auto"/>
          <w:kern w:val="0"/>
          <w:szCs w:val="21"/>
          <w:highlight w:val="none"/>
          <w:lang w:val="en-US" w:eastAsia="zh-CN" w:bidi="ar"/>
        </w:rPr>
        <w:t>自行处置</w:t>
      </w:r>
      <w:r>
        <w:rPr>
          <w:rFonts w:hint="eastAsia" w:ascii="方正仿宋_GBK" w:hAnsi="方正仿宋_GBK" w:eastAsia="方正仿宋_GBK" w:cs="方正仿宋_GBK"/>
          <w:b w:val="0"/>
          <w:bCs w:val="0"/>
          <w:color w:val="auto"/>
          <w:kern w:val="0"/>
          <w:szCs w:val="21"/>
          <w:highlight w:val="none"/>
          <w:lang w:bidi="ar"/>
        </w:rPr>
        <w:t xml:space="preserve">部门负责人：    </w:t>
      </w:r>
      <w:r>
        <w:rPr>
          <w:rFonts w:hint="eastAsia" w:ascii="方正仿宋_GBK" w:hAnsi="方正仿宋_GBK" w:eastAsia="方正仿宋_GBK" w:cs="方正仿宋_GBK"/>
          <w:b w:val="0"/>
          <w:bCs w:val="0"/>
          <w:color w:val="auto"/>
          <w:kern w:val="0"/>
          <w:szCs w:val="21"/>
          <w:highlight w:val="none"/>
          <w:lang w:val="en-US" w:eastAsia="zh-CN" w:bidi="ar"/>
        </w:rPr>
        <w:t xml:space="preserve">                         </w:t>
      </w:r>
      <w:r>
        <w:rPr>
          <w:rFonts w:hint="eastAsia" w:ascii="方正仿宋_GBK" w:hAnsi="方正仿宋_GBK" w:eastAsia="方正仿宋_GBK" w:cs="方正仿宋_GBK"/>
          <w:b w:val="0"/>
          <w:bCs w:val="0"/>
          <w:color w:val="auto"/>
          <w:kern w:val="0"/>
          <w:szCs w:val="21"/>
          <w:highlight w:val="none"/>
          <w:lang w:bidi="ar"/>
        </w:rPr>
        <w:t xml:space="preserve">         填表日期：</w:t>
      </w:r>
    </w:p>
    <w:tbl>
      <w:tblPr>
        <w:tblStyle w:val="18"/>
        <w:tblpPr w:leftFromText="180" w:rightFromText="180" w:vertAnchor="text" w:horzAnchor="page" w:tblpX="1626" w:tblpY="99"/>
        <w:tblOverlap w:val="never"/>
        <w:tblW w:w="141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1770"/>
        <w:gridCol w:w="1771"/>
        <w:gridCol w:w="1771"/>
        <w:gridCol w:w="1771"/>
        <w:gridCol w:w="1771"/>
        <w:gridCol w:w="1771"/>
        <w:gridCol w:w="1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70"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废物来源</w:t>
            </w:r>
          </w:p>
        </w:tc>
        <w:tc>
          <w:tcPr>
            <w:tcW w:w="1770"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前序表单编号</w:t>
            </w:r>
          </w:p>
        </w:tc>
        <w:tc>
          <w:tcPr>
            <w:tcW w:w="1771"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代码</w:t>
            </w:r>
          </w:p>
        </w:tc>
        <w:tc>
          <w:tcPr>
            <w:tcW w:w="1771"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名称</w:t>
            </w:r>
          </w:p>
        </w:tc>
        <w:tc>
          <w:tcPr>
            <w:tcW w:w="1771"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接收时间</w:t>
            </w:r>
          </w:p>
        </w:tc>
        <w:tc>
          <w:tcPr>
            <w:tcW w:w="1771"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接收数量（吨）</w:t>
            </w:r>
          </w:p>
        </w:tc>
        <w:tc>
          <w:tcPr>
            <w:tcW w:w="1771"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处置方式</w:t>
            </w:r>
          </w:p>
        </w:tc>
        <w:tc>
          <w:tcPr>
            <w:tcW w:w="1776" w:type="dxa"/>
            <w:vAlign w:val="center"/>
          </w:tcPr>
          <w:p>
            <w:pPr>
              <w:adjustRightInd/>
              <w:snapToGrid w:val="0"/>
              <w:spacing w:line="240" w:lineRule="exact"/>
              <w:jc w:val="center"/>
              <w:rPr>
                <w:rFonts w:hint="eastAsia" w:ascii="方正仿宋_GBK" w:hAnsi="方正仿宋_GBK" w:eastAsia="方正仿宋_GBK" w:cs="方正仿宋_GBK"/>
                <w:b w:val="0"/>
                <w:bCs w:val="0"/>
                <w:color w:val="auto"/>
                <w:kern w:val="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自行处置</w:t>
            </w:r>
          </w:p>
          <w:p>
            <w:pPr>
              <w:adjustRightInd/>
              <w:snapToGrid w:val="0"/>
              <w:spacing w:line="240" w:lineRule="exact"/>
              <w:jc w:val="center"/>
              <w:rPr>
                <w:rFonts w:hint="eastAsia" w:ascii="方正仿宋_GBK" w:hAnsi="方正仿宋_GBK" w:eastAsia="方正仿宋_GBK" w:cs="方正仿宋_GBK"/>
                <w:b w:val="0"/>
                <w:bCs w:val="0"/>
                <w:color w:val="auto"/>
                <w:kern w:val="0"/>
                <w:sz w:val="20"/>
                <w:szCs w:val="21"/>
                <w:highlight w:val="none"/>
                <w14:ligatures w14:val="none"/>
              </w:rPr>
            </w:pPr>
            <w:r>
              <w:rPr>
                <w:rFonts w:hint="eastAsia" w:ascii="方正仿宋_GBK" w:hAnsi="方正仿宋_GBK" w:eastAsia="方正仿宋_GBK" w:cs="方正仿宋_GBK"/>
                <w:b w:val="0"/>
                <w:bCs w:val="0"/>
                <w:color w:val="auto"/>
                <w:kern w:val="0"/>
                <w:szCs w:val="21"/>
                <w:highlight w:val="none"/>
                <w14:ligatures w14:val="none"/>
              </w:rPr>
              <w:t>部门经办人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7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7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7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7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0"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1"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c>
          <w:tcPr>
            <w:tcW w:w="1776" w:type="dxa"/>
            <w:vAlign w:val="center"/>
          </w:tcPr>
          <w:p>
            <w:pPr>
              <w:widowControl w:val="0"/>
              <w:adjustRightInd/>
              <w:snapToGrid w:val="0"/>
              <w:jc w:val="center"/>
              <w:rPr>
                <w:rFonts w:hint="eastAsia" w:ascii="方正仿宋_GBK" w:hAnsi="方正仿宋_GBK" w:eastAsia="方正仿宋_GBK" w:cs="方正仿宋_GBK"/>
                <w:b w:val="0"/>
                <w:bCs w:val="0"/>
                <w:color w:val="auto"/>
                <w:kern w:val="0"/>
                <w:sz w:val="20"/>
                <w:szCs w:val="21"/>
                <w:highlight w:val="none"/>
                <w:lang w:bidi="ar"/>
                <w14:ligatures w14:val="none"/>
              </w:rPr>
            </w:pPr>
          </w:p>
        </w:tc>
      </w:tr>
    </w:tbl>
    <w:p>
      <w:pPr>
        <w:widowControl w:val="0"/>
        <w:adjustRightInd/>
        <w:snapToGrid w:val="0"/>
        <w:jc w:val="left"/>
        <w:rPr>
          <w:rFonts w:hint="eastAsia" w:ascii="方正仿宋_GBK" w:hAnsi="方正仿宋_GBK" w:eastAsia="方正仿宋_GBK" w:cs="方正仿宋_GBK"/>
          <w:b w:val="0"/>
          <w:bCs w:val="0"/>
          <w:color w:val="auto"/>
          <w:kern w:val="0"/>
          <w:sz w:val="18"/>
          <w:szCs w:val="18"/>
          <w:highlight w:val="none"/>
          <w:lang w:bidi="ar"/>
        </w:rPr>
      </w:pP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 w:val="18"/>
          <w:szCs w:val="18"/>
          <w:highlight w:val="none"/>
          <w:lang w:bidi="ar"/>
        </w:rPr>
        <w:t>注：</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bidi="ar"/>
        </w:rPr>
        <w:t>1.记录表编号：可采用</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处置</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首字母加年月日再加编号的方式设计，例如</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CZ202</w:t>
      </w:r>
      <w:r>
        <w:rPr>
          <w:rFonts w:hint="eastAsia" w:ascii="方正仿宋_GBK" w:hAnsi="方正仿宋_GBK" w:eastAsia="方正仿宋_GBK" w:cs="方正仿宋_GBK"/>
          <w:b w:val="0"/>
          <w:bCs w:val="0"/>
          <w:color w:val="auto"/>
          <w:kern w:val="0"/>
          <w:szCs w:val="21"/>
          <w:highlight w:val="none"/>
          <w:lang w:val="en-US" w:eastAsia="zh-CN" w:bidi="ar"/>
        </w:rPr>
        <w:t>4</w:t>
      </w:r>
      <w:r>
        <w:rPr>
          <w:rFonts w:hint="eastAsia" w:ascii="方正仿宋_GBK" w:hAnsi="方正仿宋_GBK" w:eastAsia="方正仿宋_GBK" w:cs="方正仿宋_GBK"/>
          <w:b w:val="0"/>
          <w:bCs w:val="0"/>
          <w:color w:val="auto"/>
          <w:kern w:val="0"/>
          <w:szCs w:val="21"/>
          <w:highlight w:val="none"/>
          <w:lang w:bidi="ar"/>
        </w:rPr>
        <w:t>1</w:t>
      </w:r>
      <w:r>
        <w:rPr>
          <w:rFonts w:hint="eastAsia" w:ascii="方正仿宋_GBK" w:hAnsi="方正仿宋_GBK" w:eastAsia="方正仿宋_GBK" w:cs="方正仿宋_GBK"/>
          <w:b w:val="0"/>
          <w:bCs w:val="0"/>
          <w:color w:val="auto"/>
          <w:kern w:val="0"/>
          <w:szCs w:val="21"/>
          <w:highlight w:val="none"/>
          <w:lang w:val="en-US" w:eastAsia="zh-CN" w:bidi="ar"/>
        </w:rPr>
        <w:t>0</w:t>
      </w:r>
      <w:r>
        <w:rPr>
          <w:rFonts w:hint="eastAsia" w:ascii="方正仿宋_GBK" w:hAnsi="方正仿宋_GBK" w:eastAsia="方正仿宋_GBK" w:cs="方正仿宋_GBK"/>
          <w:b w:val="0"/>
          <w:bCs w:val="0"/>
          <w:color w:val="auto"/>
          <w:kern w:val="0"/>
          <w:szCs w:val="21"/>
          <w:highlight w:val="none"/>
          <w:lang w:bidi="ar"/>
        </w:rPr>
        <w:t>2001</w:t>
      </w:r>
      <w:r>
        <w:rPr>
          <w:rFonts w:hint="eastAsia" w:ascii="方正仿宋_GBK" w:hAnsi="方正仿宋_GBK" w:eastAsia="方正仿宋_GBK" w:cs="方正仿宋_GBK"/>
          <w:b w:val="0"/>
          <w:bCs w:val="0"/>
          <w:color w:val="auto"/>
          <w:kern w:val="0"/>
          <w:szCs w:val="21"/>
          <w:highlight w:val="none"/>
          <w:lang w:eastAsia="zh-CN" w:bidi="ar"/>
        </w:rPr>
        <w:t>”</w:t>
      </w:r>
      <w:r>
        <w:rPr>
          <w:rFonts w:hint="eastAsia" w:ascii="方正仿宋_GBK" w:hAnsi="方正仿宋_GBK" w:eastAsia="方正仿宋_GBK" w:cs="方正仿宋_GBK"/>
          <w:b w:val="0"/>
          <w:bCs w:val="0"/>
          <w:color w:val="auto"/>
          <w:kern w:val="0"/>
          <w:szCs w:val="21"/>
          <w:highlight w:val="none"/>
          <w:lang w:bidi="ar"/>
        </w:rPr>
        <w:t>，也可根据需要自行设计。</w:t>
      </w:r>
    </w:p>
    <w:p>
      <w:pPr>
        <w:widowControl w:val="0"/>
        <w:adjustRightInd/>
        <w:snapToGrid w:val="0"/>
        <w:jc w:val="left"/>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kern w:val="0"/>
          <w:szCs w:val="21"/>
          <w:highlight w:val="none"/>
          <w:lang w:bidi="ar"/>
        </w:rPr>
        <w:t>2.自行处置设施编码：填写排污许可证载明的设施编码，无编码的依据HJ608自行编码。</w:t>
      </w:r>
    </w:p>
    <w:p>
      <w:pPr>
        <w:widowControl w:val="0"/>
        <w:adjustRightInd/>
        <w:snapToGrid w:val="0"/>
        <w:ind w:left="211" w:hanging="210" w:hangingChars="100"/>
        <w:jc w:val="left"/>
        <w:rPr>
          <w:rFonts w:hint="eastAsia" w:ascii="方正仿宋_GBK" w:hAnsi="方正仿宋_GBK" w:eastAsia="方正仿宋_GBK" w:cs="方正仿宋_GBK"/>
          <w:b w:val="0"/>
          <w:bCs w:val="0"/>
          <w:color w:val="auto"/>
          <w:kern w:val="0"/>
          <w:szCs w:val="21"/>
          <w:highlight w:val="none"/>
          <w:lang w:bidi="ar"/>
        </w:rPr>
      </w:pPr>
      <w:r>
        <w:rPr>
          <w:rFonts w:hint="eastAsia" w:ascii="方正仿宋_GBK" w:hAnsi="方正仿宋_GBK" w:eastAsia="方正仿宋_GBK" w:cs="方正仿宋_GBK"/>
          <w:b w:val="0"/>
          <w:bCs w:val="0"/>
          <w:color w:val="auto"/>
          <w:kern w:val="0"/>
          <w:szCs w:val="21"/>
          <w:highlight w:val="none"/>
          <w:lang w:bidi="ar"/>
        </w:rPr>
        <w:t>3.前序表单编号：如废物来自生产环节，则填写附表4的记录表编号；如废物来自贮存环节，则填写附表5的记录表编号。</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600" w:lineRule="atLeast"/>
        <w:ind w:right="0"/>
        <w:jc w:val="both"/>
        <w:textAlignment w:val="auto"/>
        <w:rPr>
          <w:rFonts w:hint="eastAsia" w:ascii="方正仿宋_GBK" w:hAnsi="方正仿宋_GBK" w:eastAsia="方正仿宋_GBK" w:cs="方正仿宋_GBK"/>
          <w:b w:val="0"/>
          <w:bCs w:val="0"/>
          <w:color w:val="auto"/>
          <w:sz w:val="30"/>
          <w:szCs w:val="30"/>
          <w:highlight w:val="none"/>
          <w:lang w:val="en-US" w:eastAsia="zh-CN"/>
        </w:rPr>
        <w:sectPr>
          <w:pgSz w:w="16838" w:h="11906" w:orient="landscape"/>
          <w:pgMar w:top="1531" w:right="2098" w:bottom="1531" w:left="1984" w:header="851" w:footer="1474" w:gutter="0"/>
          <w:paperSrc/>
          <w:pgBorders>
            <w:top w:val="none" w:sz="0" w:space="0"/>
            <w:left w:val="none" w:sz="0" w:space="0"/>
            <w:bottom w:val="none" w:sz="0" w:space="0"/>
            <w:right w:val="none" w:sz="0" w:space="0"/>
          </w:pgBorders>
          <w:pgNumType w:fmt="numberInDash"/>
          <w:cols w:space="0" w:num="1"/>
          <w:rtlGutter w:val="0"/>
          <w:docGrid w:type="lines" w:linePitch="315" w:charSpace="0"/>
        </w:sectPr>
      </w:pPr>
    </w:p>
    <w:p>
      <w:pPr>
        <w:keepNext w:val="0"/>
        <w:keepLines w:val="0"/>
        <w:pageBreakBefore w:val="0"/>
        <w:widowControl w:val="0"/>
        <w:kinsoku w:val="0"/>
        <w:wordWrap/>
        <w:overflowPunct/>
        <w:topLinePunct w:val="0"/>
        <w:autoSpaceDE/>
        <w:autoSpaceDN/>
        <w:bidi w:val="0"/>
        <w:adjustRightInd/>
        <w:snapToGrid w:val="0"/>
        <w:spacing w:before="157" w:beforeLines="50" w:after="157" w:afterLines="50" w:line="226" w:lineRule="auto"/>
        <w:jc w:val="left"/>
        <w:textAlignment w:val="baseline"/>
        <w:rPr>
          <w:rFonts w:hint="eastAsia" w:ascii="方正黑体_GBK" w:hAnsi="方正黑体_GBK" w:eastAsia="方正黑体_GBK" w:cs="方正黑体_GBK"/>
          <w:b w:val="0"/>
          <w:bCs w:val="0"/>
          <w:color w:val="auto"/>
          <w:sz w:val="32"/>
          <w:szCs w:val="32"/>
          <w:highlight w:val="none"/>
          <w:lang w:val="en-US" w:eastAsia="zh-CN"/>
        </w:rPr>
      </w:pPr>
      <w:bookmarkStart w:id="0" w:name="_Toc164342930"/>
      <w:r>
        <w:rPr>
          <w:rFonts w:hint="eastAsia" w:ascii="方正黑体_GBK" w:hAnsi="方正黑体_GBK" w:eastAsia="方正黑体_GBK" w:cs="方正黑体_GBK"/>
          <w:b w:val="0"/>
          <w:bCs w:val="0"/>
          <w:color w:val="auto"/>
          <w:sz w:val="32"/>
          <w:szCs w:val="32"/>
          <w:highlight w:val="none"/>
          <w:lang w:val="en-US" w:eastAsia="zh-CN"/>
        </w:rPr>
        <w:t>附件5</w:t>
      </w:r>
    </w:p>
    <w:p>
      <w:pPr>
        <w:keepNext w:val="0"/>
        <w:keepLines w:val="0"/>
        <w:pageBreakBefore w:val="0"/>
        <w:widowControl w:val="0"/>
        <w:kinsoku w:val="0"/>
        <w:wordWrap/>
        <w:overflowPunct/>
        <w:topLinePunct w:val="0"/>
        <w:autoSpaceDE/>
        <w:autoSpaceDN/>
        <w:bidi w:val="0"/>
        <w:adjustRightInd/>
        <w:snapToGrid w:val="0"/>
        <w:spacing w:before="0" w:beforeLines="0" w:after="0" w:afterLines="0" w:line="240" w:lineRule="auto"/>
        <w:jc w:val="center"/>
        <w:textAlignment w:val="baseline"/>
        <w:rPr>
          <w:rFonts w:hint="eastAsia" w:ascii="方正小标宋_GBK" w:hAnsi="方正小标宋_GBK" w:eastAsia="方正小标宋_GBK" w:cs="方正小标宋_GBK"/>
          <w:b w:val="0"/>
          <w:bCs w:val="0"/>
          <w:color w:val="auto"/>
          <w:sz w:val="44"/>
          <w:szCs w:val="44"/>
          <w:highlight w:val="none"/>
          <w:lang w:eastAsia="zh-CN"/>
        </w:rPr>
      </w:pPr>
      <w:r>
        <w:rPr>
          <w:rFonts w:hint="eastAsia" w:ascii="方正小标宋_GBK" w:hAnsi="方正小标宋_GBK" w:eastAsia="方正小标宋_GBK" w:cs="方正小标宋_GBK"/>
          <w:b w:val="0"/>
          <w:bCs w:val="0"/>
          <w:color w:val="auto"/>
          <w:sz w:val="44"/>
          <w:szCs w:val="44"/>
          <w:highlight w:val="none"/>
          <w:lang w:eastAsia="en-US"/>
        </w:rPr>
        <w:t>一般工业固体废物转移处置委托合同</w:t>
      </w:r>
      <w:bookmarkEnd w:id="0"/>
    </w:p>
    <w:p>
      <w:pPr>
        <w:adjustRightInd/>
        <w:snapToGrid w:val="0"/>
        <w:spacing w:before="0" w:beforeLines="0" w:after="157" w:afterLines="50" w:line="560" w:lineRule="exact"/>
        <w:jc w:val="center"/>
        <w:rPr>
          <w:rFonts w:hint="eastAsia" w:ascii="方正仿宋_GBK" w:hAnsi="方正仿宋_GBK" w:eastAsia="方正仿宋_GBK" w:cs="方正仿宋_GBK"/>
          <w:b w:val="0"/>
          <w:bCs w:val="0"/>
          <w:color w:val="auto"/>
          <w:sz w:val="24"/>
          <w:szCs w:val="24"/>
          <w:highlight w:val="none"/>
        </w:rPr>
      </w:pPr>
      <w:r>
        <w:rPr>
          <w:rFonts w:hint="eastAsia" w:ascii="方正仿宋_GBK" w:hAnsi="方正仿宋_GBK" w:eastAsia="方正仿宋_GBK" w:cs="方正仿宋_GBK"/>
          <w:b w:val="0"/>
          <w:bCs w:val="0"/>
          <w:color w:val="auto"/>
          <w:sz w:val="24"/>
          <w:szCs w:val="24"/>
          <w:highlight w:val="none"/>
        </w:rPr>
        <w:t>（示范文本）</w:t>
      </w:r>
    </w:p>
    <w:p>
      <w:pPr>
        <w:tabs>
          <w:tab w:val="left" w:pos="312"/>
        </w:tabs>
        <w:adjustRightInd/>
        <w:snapToGrid w:val="0"/>
        <w:spacing w:line="560" w:lineRule="exact"/>
        <w:ind w:left="480"/>
        <w:rPr>
          <w:rFonts w:hint="eastAsia" w:ascii="方正仿宋_GBK" w:hAnsi="方正仿宋_GBK" w:eastAsia="方正仿宋_GBK" w:cs="方正仿宋_GBK"/>
          <w:b w:val="0"/>
          <w:bCs w:val="0"/>
          <w:color w:val="auto"/>
          <w:sz w:val="24"/>
          <w:szCs w:val="24"/>
          <w:highlight w:val="none"/>
        </w:rPr>
      </w:pPr>
      <w:r>
        <w:rPr>
          <w:rFonts w:hint="eastAsia" w:ascii="方正仿宋_GBK" w:hAnsi="方正仿宋_GBK" w:eastAsia="方正仿宋_GBK" w:cs="方正仿宋_GBK"/>
          <w:b w:val="0"/>
          <w:bCs w:val="0"/>
          <w:color w:val="auto"/>
          <w:sz w:val="24"/>
          <w:szCs w:val="24"/>
          <w:highlight w:val="none"/>
          <w:lang w:eastAsia="en-US"/>
        </w:rPr>
        <w:t>一般工业固体废物转移处置委托合同</w:t>
      </w:r>
      <w:r>
        <w:rPr>
          <w:rFonts w:hint="eastAsia" w:ascii="方正仿宋_GBK" w:hAnsi="方正仿宋_GBK" w:eastAsia="方正仿宋_GBK" w:cs="方正仿宋_GBK"/>
          <w:b w:val="0"/>
          <w:bCs w:val="0"/>
          <w:color w:val="auto"/>
          <w:sz w:val="24"/>
          <w:szCs w:val="24"/>
          <w:highlight w:val="none"/>
          <w:lang w:val="en-US" w:eastAsia="zh-CN"/>
        </w:rPr>
        <w:t>应包含以下内容：</w:t>
      </w:r>
    </w:p>
    <w:p>
      <w:pPr>
        <w:tabs>
          <w:tab w:val="left" w:pos="312"/>
        </w:tabs>
        <w:adjustRightInd/>
        <w:snapToGrid w:val="0"/>
        <w:spacing w:line="560" w:lineRule="exact"/>
        <w:ind w:left="480"/>
        <w:rPr>
          <w:rFonts w:hint="eastAsia" w:ascii="方正仿宋_GBK" w:hAnsi="方正仿宋_GBK" w:eastAsia="方正仿宋_GBK" w:cs="方正仿宋_GBK"/>
          <w:b w:val="0"/>
          <w:bCs w:val="0"/>
          <w:color w:val="auto"/>
          <w:sz w:val="24"/>
          <w:szCs w:val="24"/>
          <w:highlight w:val="none"/>
        </w:rPr>
      </w:pPr>
      <w:r>
        <w:rPr>
          <w:rFonts w:hint="eastAsia" w:ascii="方正仿宋_GBK" w:hAnsi="方正仿宋_GBK" w:eastAsia="方正仿宋_GBK" w:cs="方正仿宋_GBK"/>
          <w:b w:val="0"/>
          <w:bCs w:val="0"/>
          <w:color w:val="auto"/>
          <w:sz w:val="24"/>
          <w:szCs w:val="24"/>
          <w:highlight w:val="none"/>
          <w:lang w:val="en-US" w:eastAsia="zh-CN"/>
        </w:rPr>
        <w:t>1</w:t>
      </w:r>
      <w:r>
        <w:rPr>
          <w:rFonts w:hint="eastAsia" w:ascii="方正仿宋_GBK" w:hAnsi="方正仿宋_GBK" w:eastAsia="方正仿宋_GBK" w:cs="方正仿宋_GBK"/>
          <w:b w:val="0"/>
          <w:bCs w:val="0"/>
          <w:color w:val="auto"/>
          <w:sz w:val="24"/>
          <w:szCs w:val="24"/>
          <w:highlight w:val="none"/>
        </w:rPr>
        <w:t>.甲方需转移、处置的一般工业固体废物明细：</w:t>
      </w:r>
    </w:p>
    <w:tbl>
      <w:tblPr>
        <w:tblStyle w:val="18"/>
        <w:tblW w:w="88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54"/>
        <w:gridCol w:w="1509"/>
        <w:gridCol w:w="1366"/>
        <w:gridCol w:w="884"/>
        <w:gridCol w:w="825"/>
        <w:gridCol w:w="691"/>
        <w:gridCol w:w="950"/>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67" w:hRule="atLeast"/>
          <w:jc w:val="center"/>
        </w:trPr>
        <w:tc>
          <w:tcPr>
            <w:tcW w:w="650"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r>
              <w:rPr>
                <w:rFonts w:hint="eastAsia" w:ascii="方正仿宋_GBK" w:hAnsi="方正仿宋_GBK" w:eastAsia="方正仿宋_GBK" w:cs="方正仿宋_GBK"/>
                <w:b w:val="0"/>
                <w:bCs w:val="0"/>
                <w:color w:val="auto"/>
                <w:kern w:val="0"/>
                <w:sz w:val="21"/>
                <w:szCs w:val="21"/>
                <w:highlight w:val="none"/>
                <w14:ligatures w14:val="none"/>
              </w:rPr>
              <w:t>序号</w:t>
            </w:r>
          </w:p>
        </w:tc>
        <w:tc>
          <w:tcPr>
            <w:tcW w:w="1154"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产生环节</w:t>
            </w:r>
          </w:p>
        </w:tc>
        <w:tc>
          <w:tcPr>
            <w:tcW w:w="1509"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r>
              <w:rPr>
                <w:rFonts w:hint="eastAsia" w:ascii="方正仿宋_GBK" w:hAnsi="方正仿宋_GBK" w:eastAsia="方正仿宋_GBK" w:cs="方正仿宋_GBK"/>
                <w:b w:val="0"/>
                <w:bCs w:val="0"/>
                <w:color w:val="auto"/>
                <w:kern w:val="0"/>
                <w:sz w:val="21"/>
                <w:szCs w:val="21"/>
                <w:highlight w:val="none"/>
                <w14:ligatures w14:val="none"/>
              </w:rPr>
              <w:t>种类</w:t>
            </w:r>
          </w:p>
        </w:tc>
        <w:tc>
          <w:tcPr>
            <w:tcW w:w="1366" w:type="dxa"/>
            <w:shd w:val="clear" w:color="auto" w:fill="auto"/>
            <w:vAlign w:val="center"/>
          </w:tcPr>
          <w:p>
            <w:pPr>
              <w:numPr>
                <w:ilvl w:val="255"/>
                <w:numId w:val="0"/>
              </w:numPr>
              <w:adjustRightInd/>
              <w:snapToGrid w:val="0"/>
              <w:ind w:left="0" w:leftChars="0" w:firstLine="0" w:firstLineChars="0"/>
              <w:jc w:val="center"/>
              <w:rPr>
                <w:rFonts w:hint="eastAsia" w:ascii="方正仿宋_GBK" w:hAnsi="方正仿宋_GBK" w:eastAsia="方正仿宋_GBK" w:cs="方正仿宋_GBK"/>
                <w:b w:val="0"/>
                <w:bCs w:val="0"/>
                <w:color w:val="auto"/>
                <w:kern w:val="0"/>
                <w:sz w:val="21"/>
                <w:szCs w:val="21"/>
                <w:highlight w:val="none"/>
                <w:lang w:val="en-US" w:eastAsia="zh-CN" w:bidi="ar-SA"/>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代码</w:t>
            </w:r>
          </w:p>
        </w:tc>
        <w:tc>
          <w:tcPr>
            <w:tcW w:w="884" w:type="dxa"/>
            <w:shd w:val="clear" w:color="auto" w:fill="auto"/>
            <w:vAlign w:val="center"/>
          </w:tcPr>
          <w:p>
            <w:pPr>
              <w:numPr>
                <w:ilvl w:val="255"/>
                <w:numId w:val="0"/>
              </w:numPr>
              <w:adjustRightInd/>
              <w:snapToGrid w:val="0"/>
              <w:ind w:left="0" w:leftChars="0" w:firstLine="0" w:firstLineChars="0"/>
              <w:jc w:val="center"/>
              <w:rPr>
                <w:rFonts w:hint="eastAsia" w:ascii="方正仿宋_GBK" w:hAnsi="方正仿宋_GBK" w:eastAsia="方正仿宋_GBK" w:cs="方正仿宋_GBK"/>
                <w:b w:val="0"/>
                <w:bCs w:val="0"/>
                <w:color w:val="auto"/>
                <w:kern w:val="0"/>
                <w:sz w:val="21"/>
                <w:szCs w:val="21"/>
                <w:highlight w:val="none"/>
                <w:lang w:val="en-US" w:eastAsia="zh-CN" w:bidi="ar-SA"/>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名称</w:t>
            </w:r>
          </w:p>
        </w:tc>
        <w:tc>
          <w:tcPr>
            <w:tcW w:w="825"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物理性状</w:t>
            </w:r>
          </w:p>
        </w:tc>
        <w:tc>
          <w:tcPr>
            <w:tcW w:w="691"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r>
              <w:rPr>
                <w:rFonts w:hint="eastAsia" w:ascii="方正仿宋_GBK" w:hAnsi="方正仿宋_GBK" w:eastAsia="方正仿宋_GBK" w:cs="方正仿宋_GBK"/>
                <w:b w:val="0"/>
                <w:bCs w:val="0"/>
                <w:color w:val="auto"/>
                <w:kern w:val="0"/>
                <w:sz w:val="21"/>
                <w:szCs w:val="21"/>
                <w:highlight w:val="none"/>
                <w14:ligatures w14:val="none"/>
              </w:rPr>
              <w:t>包装方式</w:t>
            </w:r>
          </w:p>
        </w:tc>
        <w:tc>
          <w:tcPr>
            <w:tcW w:w="950"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14:ligatures w14:val="none"/>
              </w:rPr>
              <w:t>数量</w:t>
            </w:r>
            <w:r>
              <w:rPr>
                <w:rFonts w:hint="eastAsia" w:ascii="方正仿宋_GBK" w:hAnsi="方正仿宋_GBK" w:eastAsia="方正仿宋_GBK" w:cs="方正仿宋_GBK"/>
                <w:b w:val="0"/>
                <w:bCs w:val="0"/>
                <w:color w:val="auto"/>
                <w:kern w:val="0"/>
                <w:sz w:val="21"/>
                <w:szCs w:val="21"/>
                <w:highlight w:val="none"/>
                <w:lang w:val="en-US" w:eastAsia="zh-CN"/>
                <w14:ligatures w14:val="none"/>
              </w:rPr>
              <w:t>（吨）</w:t>
            </w:r>
          </w:p>
        </w:tc>
        <w:tc>
          <w:tcPr>
            <w:tcW w:w="810"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r>
              <w:rPr>
                <w:rFonts w:hint="eastAsia" w:ascii="方正仿宋_GBK" w:hAnsi="方正仿宋_GBK" w:eastAsia="方正仿宋_GBK" w:cs="方正仿宋_GBK"/>
                <w:b w:val="0"/>
                <w:bCs w:val="0"/>
                <w:color w:val="auto"/>
                <w:kern w:val="0"/>
                <w:sz w:val="21"/>
                <w:szCs w:val="21"/>
                <w:highlight w:val="none"/>
                <w14:ligatures w14:val="none"/>
              </w:rPr>
              <w:t>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67" w:hRule="atLeast"/>
          <w:jc w:val="center"/>
        </w:trPr>
        <w:tc>
          <w:tcPr>
            <w:tcW w:w="650"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示例</w:t>
            </w:r>
          </w:p>
        </w:tc>
        <w:tc>
          <w:tcPr>
            <w:tcW w:w="1154"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产品包装过程</w:t>
            </w:r>
          </w:p>
        </w:tc>
        <w:tc>
          <w:tcPr>
            <w:tcW w:w="1509"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SW17</w:t>
            </w:r>
          </w:p>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可再生类废物</w:t>
            </w:r>
          </w:p>
        </w:tc>
        <w:tc>
          <w:tcPr>
            <w:tcW w:w="1366" w:type="dxa"/>
            <w:shd w:val="clear" w:color="auto" w:fill="auto"/>
            <w:vAlign w:val="center"/>
          </w:tcPr>
          <w:p>
            <w:pPr>
              <w:numPr>
                <w:ilvl w:val="255"/>
                <w:numId w:val="0"/>
              </w:numPr>
              <w:adjustRightInd/>
              <w:snapToGrid w:val="0"/>
              <w:ind w:left="0" w:leftChars="0" w:firstLine="0" w:firstLineChars="0"/>
              <w:jc w:val="center"/>
              <w:rPr>
                <w:rFonts w:hint="eastAsia" w:ascii="方正仿宋_GBK" w:hAnsi="方正仿宋_GBK" w:eastAsia="方正仿宋_GBK" w:cs="方正仿宋_GBK"/>
                <w:b w:val="0"/>
                <w:bCs w:val="0"/>
                <w:color w:val="auto"/>
                <w:kern w:val="0"/>
                <w:sz w:val="21"/>
                <w:szCs w:val="21"/>
                <w:highlight w:val="none"/>
                <w:lang w:val="en-US" w:eastAsia="zh-CN" w:bidi="ar-SA"/>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900-003-S17</w:t>
            </w:r>
          </w:p>
        </w:tc>
        <w:tc>
          <w:tcPr>
            <w:tcW w:w="884" w:type="dxa"/>
            <w:shd w:val="clear" w:color="auto" w:fill="auto"/>
            <w:vAlign w:val="center"/>
          </w:tcPr>
          <w:p>
            <w:pPr>
              <w:numPr>
                <w:ilvl w:val="255"/>
                <w:numId w:val="0"/>
              </w:numPr>
              <w:adjustRightInd/>
              <w:snapToGrid w:val="0"/>
              <w:ind w:left="0" w:leftChars="0" w:firstLine="0" w:firstLineChars="0"/>
              <w:jc w:val="center"/>
              <w:rPr>
                <w:rFonts w:hint="eastAsia" w:ascii="方正仿宋_GBK" w:hAnsi="方正仿宋_GBK" w:eastAsia="方正仿宋_GBK" w:cs="方正仿宋_GBK"/>
                <w:b w:val="0"/>
                <w:bCs w:val="0"/>
                <w:color w:val="auto"/>
                <w:kern w:val="0"/>
                <w:sz w:val="21"/>
                <w:szCs w:val="21"/>
                <w:highlight w:val="none"/>
                <w:lang w:val="en-US" w:eastAsia="zh-CN" w:bidi="ar-SA"/>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废塑料</w:t>
            </w:r>
          </w:p>
        </w:tc>
        <w:tc>
          <w:tcPr>
            <w:tcW w:w="825"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固态（S）</w:t>
            </w:r>
          </w:p>
        </w:tc>
        <w:tc>
          <w:tcPr>
            <w:tcW w:w="691"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袋装</w:t>
            </w:r>
          </w:p>
        </w:tc>
        <w:tc>
          <w:tcPr>
            <w:tcW w:w="950"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100</w:t>
            </w:r>
          </w:p>
        </w:tc>
        <w:tc>
          <w:tcPr>
            <w:tcW w:w="810"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再生利用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50"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1</w:t>
            </w:r>
          </w:p>
        </w:tc>
        <w:tc>
          <w:tcPr>
            <w:tcW w:w="1154"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1509"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1366"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884" w:type="dxa"/>
            <w:shd w:val="clear" w:color="auto" w:fill="auto"/>
            <w:vAlign w:val="center"/>
          </w:tcPr>
          <w:p>
            <w:pPr>
              <w:numPr>
                <w:ilvl w:val="255"/>
                <w:numId w:val="0"/>
              </w:numPr>
              <w:adjustRightInd/>
              <w:snapToGrid w:val="0"/>
              <w:ind w:left="0" w:leftChars="0" w:firstLine="0" w:firstLineChars="0"/>
              <w:jc w:val="center"/>
              <w:rPr>
                <w:rFonts w:hint="eastAsia" w:ascii="方正仿宋_GBK" w:hAnsi="方正仿宋_GBK" w:eastAsia="方正仿宋_GBK" w:cs="方正仿宋_GBK"/>
                <w:b w:val="0"/>
                <w:bCs w:val="0"/>
                <w:color w:val="auto"/>
                <w:kern w:val="0"/>
                <w:sz w:val="21"/>
                <w:szCs w:val="21"/>
                <w:highlight w:val="none"/>
                <w:lang w:val="en-US" w:eastAsia="zh-CN" w:bidi="ar-SA"/>
                <w14:ligatures w14:val="none"/>
              </w:rPr>
            </w:pPr>
          </w:p>
        </w:tc>
        <w:tc>
          <w:tcPr>
            <w:tcW w:w="825"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691"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950"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810"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50"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w:t>
            </w:r>
          </w:p>
        </w:tc>
        <w:tc>
          <w:tcPr>
            <w:tcW w:w="1154"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1509"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1366"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884" w:type="dxa"/>
            <w:shd w:val="clear" w:color="auto" w:fill="auto"/>
            <w:vAlign w:val="center"/>
          </w:tcPr>
          <w:p>
            <w:pPr>
              <w:numPr>
                <w:ilvl w:val="255"/>
                <w:numId w:val="0"/>
              </w:numPr>
              <w:adjustRightInd/>
              <w:snapToGrid w:val="0"/>
              <w:ind w:left="0" w:leftChars="0" w:firstLine="0" w:firstLineChars="0"/>
              <w:jc w:val="center"/>
              <w:rPr>
                <w:rFonts w:hint="eastAsia" w:ascii="方正仿宋_GBK" w:hAnsi="方正仿宋_GBK" w:eastAsia="方正仿宋_GBK" w:cs="方正仿宋_GBK"/>
                <w:b w:val="0"/>
                <w:bCs w:val="0"/>
                <w:color w:val="auto"/>
                <w:kern w:val="0"/>
                <w:sz w:val="21"/>
                <w:szCs w:val="21"/>
                <w:highlight w:val="none"/>
                <w:lang w:val="en-US" w:eastAsia="zh-CN" w:bidi="ar-SA"/>
                <w14:ligatures w14:val="none"/>
              </w:rPr>
            </w:pPr>
          </w:p>
        </w:tc>
        <w:tc>
          <w:tcPr>
            <w:tcW w:w="825"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691"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950"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810" w:type="dxa"/>
            <w:vAlign w:val="center"/>
          </w:tcPr>
          <w:p>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r>
    </w:tbl>
    <w:p>
      <w:pPr>
        <w:widowControl w:val="0"/>
        <w:adjustRightInd/>
        <w:snapToGrid w:val="0"/>
        <w:spacing w:before="0" w:line="560" w:lineRule="exact"/>
        <w:ind w:left="0" w:firstLine="480" w:firstLineChars="200"/>
        <w:jc w:val="left"/>
        <w:rPr>
          <w:rFonts w:hint="eastAsia" w:ascii="方正仿宋_GBK" w:hAnsi="方正仿宋_GBK" w:eastAsia="方正仿宋_GBK" w:cs="方正仿宋_GBK"/>
          <w:b w:val="0"/>
          <w:bCs w:val="0"/>
          <w:color w:val="auto"/>
          <w:kern w:val="2"/>
          <w:sz w:val="24"/>
          <w:szCs w:val="24"/>
          <w:highlight w:val="none"/>
          <w:lang w:val="en-US" w:eastAsia="zh-CN" w:bidi="ar-SA"/>
          <w14:ligatures w14:val="standardContextual"/>
        </w:rPr>
      </w:pPr>
      <w:r>
        <w:rPr>
          <w:rFonts w:hint="eastAsia" w:ascii="方正仿宋_GBK" w:hAnsi="方正仿宋_GBK" w:eastAsia="方正仿宋_GBK" w:cs="方正仿宋_GBK"/>
          <w:b w:val="0"/>
          <w:bCs w:val="0"/>
          <w:color w:val="auto"/>
          <w:kern w:val="2"/>
          <w:sz w:val="24"/>
          <w:szCs w:val="24"/>
          <w:highlight w:val="none"/>
          <w:lang w:val="en-US" w:eastAsia="zh-CN" w:bidi="ar-SA"/>
          <w14:ligatures w14:val="standardContextual"/>
        </w:rPr>
        <w:t>2.乙方在转移、利用、处置甲方提供的一般工业固体废物的过程中，应确保符合国家相关法律法规规定的环保、消防等要求。</w:t>
      </w:r>
    </w:p>
    <w:p>
      <w:pPr>
        <w:widowControl w:val="0"/>
        <w:adjustRightInd/>
        <w:snapToGrid w:val="0"/>
        <w:spacing w:before="0" w:line="560" w:lineRule="exact"/>
        <w:ind w:left="0" w:firstLine="480" w:firstLineChars="200"/>
        <w:jc w:val="left"/>
        <w:rPr>
          <w:rFonts w:hint="eastAsia" w:ascii="方正仿宋_GBK" w:hAnsi="方正仿宋_GBK" w:eastAsia="方正仿宋_GBK" w:cs="方正仿宋_GBK"/>
          <w:b w:val="0"/>
          <w:bCs w:val="0"/>
          <w:color w:val="auto"/>
          <w:kern w:val="2"/>
          <w:sz w:val="24"/>
          <w:szCs w:val="24"/>
          <w:highlight w:val="none"/>
          <w:u w:val="none"/>
          <w:lang w:val="en-US" w:eastAsia="zh-CN" w:bidi="ar-SA"/>
          <w14:ligatures w14:val="standardContextual"/>
        </w:rPr>
      </w:pPr>
      <w:r>
        <w:rPr>
          <w:rFonts w:hint="eastAsia" w:ascii="方正仿宋_GBK" w:hAnsi="方正仿宋_GBK" w:eastAsia="方正仿宋_GBK" w:cs="方正仿宋_GBK"/>
          <w:b w:val="0"/>
          <w:bCs w:val="0"/>
          <w:color w:val="auto"/>
          <w:kern w:val="2"/>
          <w:sz w:val="24"/>
          <w:szCs w:val="24"/>
          <w:highlight w:val="none"/>
          <w:u w:val="none"/>
          <w:lang w:val="en-US" w:eastAsia="zh-CN" w:bidi="ar-SA"/>
          <w14:ligatures w14:val="standardContextual"/>
        </w:rPr>
        <w:t>注：鼓励明确乙方所执行的标准，如①</w:t>
      </w:r>
      <w:r>
        <w:rPr>
          <w:rFonts w:hint="eastAsia" w:ascii="方正仿宋_GBK" w:hAnsi="方正仿宋_GBK" w:eastAsia="方正仿宋_GBK" w:cs="方正仿宋_GBK"/>
          <w:b w:val="0"/>
          <w:bCs w:val="0"/>
          <w:color w:val="auto"/>
          <w:kern w:val="2"/>
          <w:sz w:val="24"/>
          <w:szCs w:val="24"/>
          <w:highlight w:val="none"/>
          <w:u w:val="none"/>
          <w:lang w:val="en-US" w:eastAsia="en-US" w:bidi="ar-SA"/>
          <w14:ligatures w14:val="standardContextual"/>
        </w:rPr>
        <w:t>《一般工业固体废物贮存和填埋污染控制标准》（GB</w:t>
      </w:r>
      <w:r>
        <w:rPr>
          <w:rFonts w:hint="eastAsia" w:ascii="方正仿宋_GBK" w:hAnsi="方正仿宋_GBK" w:eastAsia="方正仿宋_GBK" w:cs="方正仿宋_GBK"/>
          <w:b w:val="0"/>
          <w:bCs w:val="0"/>
          <w:color w:val="auto"/>
          <w:kern w:val="2"/>
          <w:sz w:val="24"/>
          <w:szCs w:val="24"/>
          <w:highlight w:val="none"/>
          <w:u w:val="none"/>
          <w:lang w:val="en-US" w:eastAsia="zh-CN" w:bidi="ar-SA"/>
          <w14:ligatures w14:val="standardContextual"/>
        </w:rPr>
        <w:t xml:space="preserve"> </w:t>
      </w:r>
      <w:r>
        <w:rPr>
          <w:rFonts w:hint="eastAsia" w:ascii="方正仿宋_GBK" w:hAnsi="方正仿宋_GBK" w:eastAsia="方正仿宋_GBK" w:cs="方正仿宋_GBK"/>
          <w:b w:val="0"/>
          <w:bCs w:val="0"/>
          <w:color w:val="auto"/>
          <w:kern w:val="2"/>
          <w:sz w:val="24"/>
          <w:szCs w:val="24"/>
          <w:highlight w:val="none"/>
          <w:u w:val="none"/>
          <w:lang w:val="en-US" w:eastAsia="en-US" w:bidi="ar-SA"/>
          <w14:ligatures w14:val="standardContextual"/>
        </w:rPr>
        <w:t>18599）</w:t>
      </w:r>
      <w:r>
        <w:rPr>
          <w:rFonts w:hint="eastAsia" w:ascii="方正仿宋_GBK" w:hAnsi="方正仿宋_GBK" w:eastAsia="方正仿宋_GBK" w:cs="方正仿宋_GBK"/>
          <w:b w:val="0"/>
          <w:bCs w:val="0"/>
          <w:color w:val="auto"/>
          <w:kern w:val="2"/>
          <w:sz w:val="24"/>
          <w:szCs w:val="24"/>
          <w:highlight w:val="none"/>
          <w:u w:val="none"/>
          <w:lang w:val="en-US" w:eastAsia="zh-CN" w:bidi="ar-SA"/>
          <w14:ligatures w14:val="standardContextual"/>
        </w:rPr>
        <w:t>；②</w:t>
      </w:r>
      <w:r>
        <w:rPr>
          <w:rFonts w:hint="eastAsia" w:ascii="方正仿宋_GBK" w:hAnsi="方正仿宋_GBK" w:eastAsia="方正仿宋_GBK" w:cs="方正仿宋_GBK"/>
          <w:b w:val="0"/>
          <w:bCs w:val="0"/>
          <w:color w:val="auto"/>
          <w:kern w:val="2"/>
          <w:sz w:val="24"/>
          <w:szCs w:val="24"/>
          <w:highlight w:val="none"/>
          <w:u w:val="none"/>
          <w:lang w:val="en-US" w:eastAsia="en-US" w:bidi="ar-SA"/>
          <w14:ligatures w14:val="standardContextual"/>
        </w:rPr>
        <w:t>《生活垃圾焚烧污染控制标准》（GB</w:t>
      </w:r>
      <w:r>
        <w:rPr>
          <w:rFonts w:hint="eastAsia" w:ascii="方正仿宋_GBK" w:hAnsi="方正仿宋_GBK" w:eastAsia="方正仿宋_GBK" w:cs="方正仿宋_GBK"/>
          <w:b w:val="0"/>
          <w:bCs w:val="0"/>
          <w:color w:val="auto"/>
          <w:kern w:val="2"/>
          <w:sz w:val="24"/>
          <w:szCs w:val="24"/>
          <w:highlight w:val="none"/>
          <w:u w:val="none"/>
          <w:lang w:val="en-US" w:eastAsia="zh-CN" w:bidi="ar-SA"/>
          <w14:ligatures w14:val="standardContextual"/>
        </w:rPr>
        <w:t xml:space="preserve"> </w:t>
      </w:r>
      <w:r>
        <w:rPr>
          <w:rFonts w:hint="eastAsia" w:ascii="方正仿宋_GBK" w:hAnsi="方正仿宋_GBK" w:eastAsia="方正仿宋_GBK" w:cs="方正仿宋_GBK"/>
          <w:b w:val="0"/>
          <w:bCs w:val="0"/>
          <w:color w:val="auto"/>
          <w:kern w:val="2"/>
          <w:sz w:val="24"/>
          <w:szCs w:val="24"/>
          <w:highlight w:val="none"/>
          <w:u w:val="none"/>
          <w:lang w:val="en-US" w:eastAsia="en-US" w:bidi="ar-SA"/>
          <w14:ligatures w14:val="standardContextual"/>
        </w:rPr>
        <w:t>18485）</w:t>
      </w:r>
      <w:r>
        <w:rPr>
          <w:rFonts w:hint="eastAsia" w:ascii="方正仿宋_GBK" w:hAnsi="方正仿宋_GBK" w:eastAsia="方正仿宋_GBK" w:cs="方正仿宋_GBK"/>
          <w:b w:val="0"/>
          <w:bCs w:val="0"/>
          <w:color w:val="auto"/>
          <w:kern w:val="2"/>
          <w:sz w:val="24"/>
          <w:szCs w:val="24"/>
          <w:highlight w:val="none"/>
          <w:u w:val="none"/>
          <w:lang w:val="en-US" w:eastAsia="zh-CN" w:bidi="ar-SA"/>
          <w14:ligatures w14:val="standardContextual"/>
        </w:rPr>
        <w:t>；③</w:t>
      </w:r>
      <w:r>
        <w:rPr>
          <w:rFonts w:hint="eastAsia" w:ascii="方正仿宋_GBK" w:hAnsi="方正仿宋_GBK" w:eastAsia="方正仿宋_GBK" w:cs="方正仿宋_GBK"/>
          <w:b w:val="0"/>
          <w:bCs w:val="0"/>
          <w:color w:val="auto"/>
          <w:kern w:val="2"/>
          <w:sz w:val="24"/>
          <w:szCs w:val="24"/>
          <w:highlight w:val="none"/>
          <w:u w:val="none"/>
          <w:lang w:val="en-US" w:eastAsia="en-US" w:bidi="ar-SA"/>
          <w14:ligatures w14:val="standardContextual"/>
        </w:rPr>
        <w:t>《水泥窑协同处置固体废物污染控制标准》（GB</w:t>
      </w:r>
      <w:r>
        <w:rPr>
          <w:rFonts w:hint="eastAsia" w:ascii="方正仿宋_GBK" w:hAnsi="方正仿宋_GBK" w:eastAsia="方正仿宋_GBK" w:cs="方正仿宋_GBK"/>
          <w:b w:val="0"/>
          <w:bCs w:val="0"/>
          <w:color w:val="auto"/>
          <w:kern w:val="2"/>
          <w:sz w:val="24"/>
          <w:szCs w:val="24"/>
          <w:highlight w:val="none"/>
          <w:u w:val="none"/>
          <w:lang w:val="en-US" w:eastAsia="zh-CN" w:bidi="ar-SA"/>
          <w14:ligatures w14:val="standardContextual"/>
        </w:rPr>
        <w:t xml:space="preserve"> </w:t>
      </w:r>
      <w:r>
        <w:rPr>
          <w:rFonts w:hint="eastAsia" w:ascii="方正仿宋_GBK" w:hAnsi="方正仿宋_GBK" w:eastAsia="方正仿宋_GBK" w:cs="方正仿宋_GBK"/>
          <w:b w:val="0"/>
          <w:bCs w:val="0"/>
          <w:color w:val="auto"/>
          <w:kern w:val="2"/>
          <w:sz w:val="24"/>
          <w:szCs w:val="24"/>
          <w:highlight w:val="none"/>
          <w:u w:val="none"/>
          <w:lang w:val="en-US" w:eastAsia="en-US" w:bidi="ar-SA"/>
          <w14:ligatures w14:val="standardContextual"/>
        </w:rPr>
        <w:t>30485）</w:t>
      </w:r>
      <w:r>
        <w:rPr>
          <w:rFonts w:hint="eastAsia" w:ascii="方正仿宋_GBK" w:hAnsi="方正仿宋_GBK" w:eastAsia="方正仿宋_GBK" w:cs="方正仿宋_GBK"/>
          <w:b w:val="0"/>
          <w:bCs w:val="0"/>
          <w:color w:val="auto"/>
          <w:kern w:val="2"/>
          <w:sz w:val="24"/>
          <w:szCs w:val="24"/>
          <w:highlight w:val="none"/>
          <w:u w:val="none"/>
          <w:lang w:val="en-US" w:eastAsia="zh-CN" w:bidi="ar-SA"/>
          <w14:ligatures w14:val="standardContextual"/>
        </w:rPr>
        <w:t>等。如果没有对应的污染控制标准，双方应当根据实际情况约定污染防治要求。</w:t>
      </w:r>
    </w:p>
    <w:p>
      <w:pPr>
        <w:widowControl w:val="0"/>
        <w:adjustRightInd/>
        <w:snapToGrid w:val="0"/>
        <w:spacing w:before="0" w:line="560" w:lineRule="exact"/>
        <w:ind w:left="0" w:firstLine="480" w:firstLineChars="200"/>
        <w:jc w:val="left"/>
        <w:rPr>
          <w:rFonts w:hint="eastAsia" w:ascii="方正仿宋_GBK" w:hAnsi="方正仿宋_GBK" w:eastAsia="方正仿宋_GBK" w:cs="方正仿宋_GBK"/>
          <w:b w:val="0"/>
          <w:bCs w:val="0"/>
          <w:color w:val="auto"/>
          <w:kern w:val="2"/>
          <w:sz w:val="24"/>
          <w:szCs w:val="24"/>
          <w:highlight w:val="none"/>
          <w:lang w:val="en-US" w:eastAsia="zh-CN" w:bidi="ar-SA"/>
          <w14:ligatures w14:val="standardContextual"/>
        </w:rPr>
      </w:pPr>
      <w:r>
        <w:rPr>
          <w:rFonts w:hint="eastAsia" w:ascii="方正仿宋_GBK" w:hAnsi="方正仿宋_GBK" w:eastAsia="方正仿宋_GBK" w:cs="方正仿宋_GBK"/>
          <w:b w:val="0"/>
          <w:bCs w:val="0"/>
          <w:color w:val="auto"/>
          <w:kern w:val="2"/>
          <w:sz w:val="24"/>
          <w:szCs w:val="24"/>
          <w:highlight w:val="none"/>
          <w:lang w:val="en-US" w:eastAsia="zh-CN" w:bidi="ar-SA"/>
          <w14:ligatures w14:val="standardContextual"/>
        </w:rPr>
        <w:t>3.乙方由乙方代为委托服务方在处置甲方提供的一般工业固体废物活动完成后，应当由乙方及时向甲方报告处置情况。</w:t>
      </w:r>
    </w:p>
    <w:p>
      <w:pPr>
        <w:widowControl w:val="0"/>
        <w:adjustRightInd/>
        <w:snapToGrid w:val="0"/>
        <w:spacing w:before="0" w:line="560" w:lineRule="exact"/>
        <w:ind w:left="0" w:firstLine="480" w:firstLineChars="200"/>
        <w:jc w:val="left"/>
        <w:rPr>
          <w:rFonts w:hint="eastAsia" w:ascii="方正仿宋_GBK" w:hAnsi="方正仿宋_GBK" w:eastAsia="方正仿宋_GBK" w:cs="方正仿宋_GBK"/>
          <w:b w:val="0"/>
          <w:bCs w:val="0"/>
          <w:color w:val="auto"/>
          <w:kern w:val="2"/>
          <w:sz w:val="24"/>
          <w:szCs w:val="24"/>
          <w:highlight w:val="none"/>
          <w:lang w:val="en-US" w:eastAsia="zh-CN" w:bidi="ar-SA"/>
          <w14:ligatures w14:val="standardContextual"/>
        </w:rPr>
      </w:pPr>
      <w:r>
        <w:rPr>
          <w:rFonts w:hint="eastAsia" w:ascii="方正仿宋_GBK" w:hAnsi="方正仿宋_GBK" w:eastAsia="方正仿宋_GBK" w:cs="方正仿宋_GBK"/>
          <w:b w:val="0"/>
          <w:bCs w:val="0"/>
          <w:color w:val="auto"/>
          <w:kern w:val="2"/>
          <w:sz w:val="24"/>
          <w:szCs w:val="24"/>
          <w:highlight w:val="none"/>
          <w:lang w:val="en-US" w:eastAsia="zh-CN" w:bidi="ar-SA"/>
          <w14:ligatures w14:val="standardContextual"/>
        </w:rPr>
        <w:t>4.甲方核实乙方或由乙方代为委托服务方的主体资格和技术能力的相关文件作为合同附件。</w:t>
      </w:r>
    </w:p>
    <w:p>
      <w:pPr>
        <w:adjustRightInd/>
        <w:snapToGrid w:val="0"/>
        <w:spacing w:line="560" w:lineRule="exact"/>
        <w:ind w:firstLine="480" w:firstLineChars="200"/>
        <w:jc w:val="left"/>
        <w:rPr>
          <w:rFonts w:hint="eastAsia" w:ascii="方正仿宋_GBK" w:hAnsi="方正仿宋_GBK" w:eastAsia="方正仿宋_GBK" w:cs="方正仿宋_GBK"/>
          <w:b w:val="0"/>
          <w:bCs w:val="0"/>
          <w:color w:val="auto"/>
          <w:sz w:val="24"/>
          <w:szCs w:val="24"/>
          <w:highlight w:val="none"/>
          <w:lang w:val="en-US" w:eastAsia="zh-CN"/>
        </w:rPr>
      </w:pPr>
      <w:r>
        <w:rPr>
          <w:rFonts w:hint="eastAsia" w:ascii="方正仿宋_GBK" w:hAnsi="方正仿宋_GBK" w:eastAsia="方正仿宋_GBK" w:cs="方正仿宋_GBK"/>
          <w:b w:val="0"/>
          <w:bCs w:val="0"/>
          <w:color w:val="auto"/>
          <w:sz w:val="24"/>
          <w:szCs w:val="24"/>
          <w:highlight w:val="none"/>
          <w:lang w:val="en-US" w:eastAsia="zh-CN"/>
        </w:rPr>
        <w:t>附件1：利用、处置单位的营业执照。</w:t>
      </w:r>
    </w:p>
    <w:p>
      <w:pPr>
        <w:adjustRightInd/>
        <w:snapToGrid w:val="0"/>
        <w:spacing w:line="560" w:lineRule="exact"/>
        <w:ind w:firstLine="480" w:firstLineChars="200"/>
        <w:jc w:val="left"/>
        <w:rPr>
          <w:rFonts w:hint="eastAsia" w:ascii="方正仿宋_GBK" w:hAnsi="方正仿宋_GBK" w:eastAsia="方正仿宋_GBK" w:cs="方正仿宋_GBK"/>
          <w:b w:val="0"/>
          <w:bCs w:val="0"/>
          <w:color w:val="auto"/>
          <w:sz w:val="24"/>
          <w:szCs w:val="24"/>
          <w:highlight w:val="none"/>
          <w:lang w:val="en-US" w:eastAsia="zh-CN"/>
        </w:rPr>
      </w:pPr>
      <w:r>
        <w:rPr>
          <w:rFonts w:hint="eastAsia" w:ascii="方正仿宋_GBK" w:hAnsi="方正仿宋_GBK" w:eastAsia="方正仿宋_GBK" w:cs="方正仿宋_GBK"/>
          <w:b w:val="0"/>
          <w:bCs w:val="0"/>
          <w:color w:val="auto"/>
          <w:sz w:val="24"/>
          <w:szCs w:val="24"/>
          <w:highlight w:val="none"/>
          <w:lang w:val="en-US" w:eastAsia="zh-CN"/>
        </w:rPr>
        <w:t>附件2：利用、处置单位的环境影响评价批复文件。</w:t>
      </w:r>
    </w:p>
    <w:p>
      <w:pPr>
        <w:adjustRightInd/>
        <w:snapToGrid w:val="0"/>
        <w:spacing w:line="560" w:lineRule="exact"/>
        <w:ind w:firstLine="480" w:firstLineChars="200"/>
        <w:jc w:val="left"/>
        <w:rPr>
          <w:rFonts w:hint="eastAsia" w:ascii="方正仿宋_GBK" w:hAnsi="方正仿宋_GBK" w:eastAsia="方正仿宋_GBK" w:cs="方正仿宋_GBK"/>
          <w:b w:val="0"/>
          <w:bCs w:val="0"/>
          <w:color w:val="auto"/>
          <w:sz w:val="24"/>
          <w:szCs w:val="24"/>
          <w:highlight w:val="none"/>
          <w:lang w:val="en-US" w:eastAsia="zh-CN"/>
        </w:rPr>
      </w:pPr>
      <w:r>
        <w:rPr>
          <w:rFonts w:hint="eastAsia" w:ascii="方正仿宋_GBK" w:hAnsi="方正仿宋_GBK" w:eastAsia="方正仿宋_GBK" w:cs="方正仿宋_GBK"/>
          <w:b w:val="0"/>
          <w:bCs w:val="0"/>
          <w:color w:val="auto"/>
          <w:sz w:val="24"/>
          <w:szCs w:val="24"/>
          <w:highlight w:val="none"/>
          <w:lang w:val="en-US" w:eastAsia="zh-CN"/>
        </w:rPr>
        <w:t>附件3：利用、处置单位的排污许可证。...</w:t>
      </w:r>
    </w:p>
    <w:p>
      <w:pPr>
        <w:pStyle w:val="2"/>
        <w:rPr>
          <w:rFonts w:hint="eastAsia" w:ascii="Times New Roman" w:hAnsi="Times New Roman" w:eastAsia="方正仿宋_GBK" w:cs="Times New Roman"/>
          <w:b w:val="0"/>
          <w:bCs w:val="0"/>
          <w:color w:val="auto"/>
          <w:sz w:val="24"/>
          <w:szCs w:val="24"/>
          <w:highlight w:val="none"/>
          <w:lang w:val="en-US" w:eastAsia="zh-CN"/>
        </w:rPr>
      </w:pPr>
    </w:p>
    <w:p>
      <w:pPr>
        <w:rPr>
          <w:rFonts w:hint="eastAsia" w:ascii="Times New Roman" w:hAnsi="Times New Roman" w:eastAsia="方正仿宋_GBK" w:cs="Times New Roman"/>
          <w:b w:val="0"/>
          <w:bCs w:val="0"/>
          <w:color w:val="auto"/>
          <w:sz w:val="24"/>
          <w:szCs w:val="24"/>
          <w:highlight w:val="none"/>
          <w:lang w:val="en-US" w:eastAsia="zh-CN"/>
        </w:rPr>
      </w:pPr>
    </w:p>
    <w:p>
      <w:pPr>
        <w:pStyle w:val="2"/>
        <w:rPr>
          <w:rFonts w:hint="eastAsia" w:ascii="Times New Roman" w:hAnsi="Times New Roman" w:eastAsia="方正仿宋_GBK" w:cs="Times New Roman"/>
          <w:b w:val="0"/>
          <w:bCs w:val="0"/>
          <w:color w:val="auto"/>
          <w:sz w:val="24"/>
          <w:szCs w:val="24"/>
          <w:highlight w:val="none"/>
          <w:lang w:val="en-US" w:eastAsia="zh-CN"/>
        </w:rPr>
      </w:pPr>
    </w:p>
    <w:p>
      <w:pPr>
        <w:rPr>
          <w:rFonts w:hint="eastAsia" w:ascii="Times New Roman" w:hAnsi="Times New Roman" w:eastAsia="方正仿宋_GBK" w:cs="Times New Roman"/>
          <w:b w:val="0"/>
          <w:bCs w:val="0"/>
          <w:color w:val="auto"/>
          <w:sz w:val="24"/>
          <w:szCs w:val="24"/>
          <w:highlight w:val="none"/>
          <w:lang w:val="en-US" w:eastAsia="zh-CN"/>
        </w:rPr>
      </w:pPr>
    </w:p>
    <w:p>
      <w:pPr>
        <w:pStyle w:val="2"/>
        <w:rPr>
          <w:rFonts w:hint="eastAsia" w:ascii="Times New Roman" w:hAnsi="Times New Roman" w:eastAsia="方正仿宋_GBK" w:cs="Times New Roman"/>
          <w:b w:val="0"/>
          <w:bCs w:val="0"/>
          <w:color w:val="auto"/>
          <w:sz w:val="24"/>
          <w:szCs w:val="24"/>
          <w:highlight w:val="none"/>
          <w:lang w:val="en-US" w:eastAsia="zh-CN"/>
        </w:rPr>
      </w:pPr>
    </w:p>
    <w:p>
      <w:pPr>
        <w:rPr>
          <w:rFonts w:hint="eastAsia" w:ascii="Times New Roman" w:hAnsi="Times New Roman" w:eastAsia="方正仿宋_GBK" w:cs="Times New Roman"/>
          <w:b w:val="0"/>
          <w:bCs w:val="0"/>
          <w:color w:val="auto"/>
          <w:sz w:val="24"/>
          <w:szCs w:val="24"/>
          <w:highlight w:val="none"/>
          <w:lang w:val="en-US" w:eastAsia="zh-CN"/>
        </w:rPr>
      </w:pPr>
    </w:p>
    <w:p>
      <w:pPr>
        <w:pStyle w:val="2"/>
        <w:rPr>
          <w:rFonts w:hint="eastAsia" w:ascii="Times New Roman" w:hAnsi="Times New Roman" w:eastAsia="方正仿宋_GBK" w:cs="Times New Roman"/>
          <w:b w:val="0"/>
          <w:bCs w:val="0"/>
          <w:color w:val="auto"/>
          <w:sz w:val="24"/>
          <w:szCs w:val="24"/>
          <w:highlight w:val="none"/>
          <w:lang w:val="en-US" w:eastAsia="zh-CN"/>
        </w:rPr>
      </w:pPr>
    </w:p>
    <w:p>
      <w:pPr>
        <w:rPr>
          <w:rFonts w:hint="eastAsia" w:ascii="Times New Roman" w:hAnsi="Times New Roman" w:eastAsia="方正仿宋_GBK" w:cs="Times New Roman"/>
          <w:b w:val="0"/>
          <w:bCs w:val="0"/>
          <w:color w:val="auto"/>
          <w:sz w:val="24"/>
          <w:szCs w:val="24"/>
          <w:highlight w:val="none"/>
          <w:lang w:val="en-US" w:eastAsia="zh-CN"/>
        </w:rPr>
      </w:pPr>
    </w:p>
    <w:p>
      <w:pPr>
        <w:pStyle w:val="2"/>
        <w:rPr>
          <w:rFonts w:hint="eastAsia" w:ascii="Times New Roman" w:hAnsi="Times New Roman" w:eastAsia="方正仿宋_GBK" w:cs="Times New Roman"/>
          <w:b w:val="0"/>
          <w:bCs w:val="0"/>
          <w:color w:val="auto"/>
          <w:sz w:val="24"/>
          <w:szCs w:val="24"/>
          <w:highlight w:val="none"/>
          <w:lang w:val="en-US" w:eastAsia="zh-CN"/>
        </w:rPr>
      </w:pPr>
    </w:p>
    <w:p>
      <w:pPr>
        <w:rPr>
          <w:rFonts w:hint="eastAsia" w:ascii="Times New Roman" w:hAnsi="Times New Roman" w:eastAsia="方正仿宋_GBK" w:cs="Times New Roman"/>
          <w:b w:val="0"/>
          <w:bCs w:val="0"/>
          <w:color w:val="auto"/>
          <w:sz w:val="24"/>
          <w:szCs w:val="24"/>
          <w:highlight w:val="none"/>
          <w:lang w:val="en-US" w:eastAsia="zh-CN"/>
        </w:rPr>
      </w:pPr>
    </w:p>
    <w:p>
      <w:pPr>
        <w:pStyle w:val="2"/>
        <w:rPr>
          <w:rFonts w:hint="eastAsia" w:ascii="Times New Roman" w:hAnsi="Times New Roman" w:eastAsia="方正仿宋_GBK" w:cs="Times New Roman"/>
          <w:b w:val="0"/>
          <w:bCs w:val="0"/>
          <w:color w:val="auto"/>
          <w:sz w:val="24"/>
          <w:szCs w:val="24"/>
          <w:highlight w:val="none"/>
          <w:lang w:val="en-US" w:eastAsia="zh-CN"/>
        </w:rPr>
      </w:pPr>
    </w:p>
    <w:p>
      <w:pPr>
        <w:rPr>
          <w:rFonts w:hint="eastAsia" w:ascii="Times New Roman" w:hAnsi="Times New Roman" w:eastAsia="方正仿宋_GBK" w:cs="Times New Roman"/>
          <w:b w:val="0"/>
          <w:bCs w:val="0"/>
          <w:color w:val="auto"/>
          <w:sz w:val="24"/>
          <w:szCs w:val="24"/>
          <w:highlight w:val="none"/>
          <w:lang w:val="en-US" w:eastAsia="zh-CN"/>
        </w:rPr>
      </w:pPr>
    </w:p>
    <w:p>
      <w:pPr>
        <w:pStyle w:val="2"/>
        <w:rPr>
          <w:rFonts w:hint="eastAsia" w:ascii="Times New Roman" w:hAnsi="Times New Roman" w:eastAsia="方正仿宋_GBK" w:cs="Times New Roman"/>
          <w:b w:val="0"/>
          <w:bCs w:val="0"/>
          <w:color w:val="auto"/>
          <w:sz w:val="24"/>
          <w:szCs w:val="24"/>
          <w:highlight w:val="none"/>
          <w:lang w:val="en-US" w:eastAsia="zh-CN"/>
        </w:rPr>
      </w:pPr>
    </w:p>
    <w:p>
      <w:pPr>
        <w:rPr>
          <w:rFonts w:hint="eastAsia" w:ascii="Times New Roman" w:hAnsi="Times New Roman" w:eastAsia="方正仿宋_GBK" w:cs="Times New Roman"/>
          <w:b w:val="0"/>
          <w:bCs w:val="0"/>
          <w:color w:val="auto"/>
          <w:sz w:val="24"/>
          <w:szCs w:val="24"/>
          <w:highlight w:val="none"/>
          <w:lang w:val="en-US" w:eastAsia="zh-CN"/>
        </w:rPr>
      </w:pPr>
    </w:p>
    <w:p>
      <w:pPr>
        <w:pStyle w:val="2"/>
        <w:rPr>
          <w:rFonts w:hint="eastAsia" w:ascii="Times New Roman" w:hAnsi="Times New Roman" w:eastAsia="方正仿宋_GBK" w:cs="Times New Roman"/>
          <w:b w:val="0"/>
          <w:bCs w:val="0"/>
          <w:color w:val="auto"/>
          <w:sz w:val="24"/>
          <w:szCs w:val="24"/>
          <w:highlight w:val="none"/>
          <w:lang w:val="en-US" w:eastAsia="zh-CN"/>
        </w:rPr>
      </w:pPr>
    </w:p>
    <w:p>
      <w:pPr>
        <w:rPr>
          <w:rFonts w:hint="eastAsia" w:ascii="Times New Roman" w:hAnsi="Times New Roman" w:eastAsia="方正仿宋_GBK" w:cs="Times New Roman"/>
          <w:b w:val="0"/>
          <w:bCs w:val="0"/>
          <w:color w:val="auto"/>
          <w:sz w:val="24"/>
          <w:szCs w:val="24"/>
          <w:highlight w:val="none"/>
          <w:lang w:val="en-US" w:eastAsia="zh-CN"/>
        </w:rPr>
      </w:pPr>
    </w:p>
    <w:p>
      <w:pPr>
        <w:pStyle w:val="2"/>
        <w:rPr>
          <w:rFonts w:hint="eastAsia"/>
          <w:lang w:val="en-US" w:eastAsia="zh-CN"/>
        </w:rPr>
      </w:pPr>
    </w:p>
    <w:p>
      <w:pPr>
        <w:pStyle w:val="46"/>
        <w:keepNext w:val="0"/>
        <w:keepLines w:val="0"/>
        <w:pageBreakBefore w:val="0"/>
        <w:kinsoku/>
        <w:wordWrap/>
        <w:overflowPunct/>
        <w:topLinePunct w:val="0"/>
        <w:autoSpaceDE/>
        <w:autoSpaceDN/>
        <w:bidi w:val="0"/>
        <w:adjustRightInd/>
        <w:snapToGrid/>
        <w:spacing w:line="240" w:lineRule="atLeast"/>
        <w:textAlignment w:val="auto"/>
        <w:outlineLvl w:val="9"/>
        <w:rPr>
          <w:rFonts w:hint="eastAsia" w:ascii="Times New Roman" w:hAnsi="Times New Roman"/>
          <w:b w:val="0"/>
          <w:bCs w:val="0"/>
          <w:color w:val="auto"/>
          <w:sz w:val="10"/>
          <w:szCs w:val="10"/>
        </w:rPr>
      </w:pPr>
    </w:p>
    <w:p>
      <w:pPr>
        <w:pStyle w:val="7"/>
        <w:pBdr>
          <w:top w:val="single" w:color="auto" w:sz="4" w:space="0"/>
          <w:bottom w:val="single" w:color="auto" w:sz="4" w:space="0"/>
        </w:pBdr>
        <w:spacing w:line="560" w:lineRule="exact"/>
        <w:ind w:firstLine="280" w:firstLineChars="100"/>
        <w:rPr>
          <w:rFonts w:hint="default"/>
          <w:b w:val="0"/>
          <w:bCs w:val="0"/>
          <w:color w:val="auto"/>
          <w:lang w:val="en-US" w:eastAsia="zh-CN"/>
        </w:rPr>
      </w:pPr>
      <w:r>
        <w:rPr>
          <w:rFonts w:hint="eastAsia" w:ascii="Times New Roman" w:hAnsi="Times New Roman" w:eastAsia="方正仿宋_GBK" w:cs="方正仿宋_GBK"/>
          <w:b w:val="0"/>
          <w:bCs w:val="0"/>
          <w:color w:val="auto"/>
          <w:sz w:val="28"/>
          <w:szCs w:val="28"/>
        </w:rPr>
        <w:t>重庆市巴南区</w:t>
      </w:r>
      <w:r>
        <w:rPr>
          <w:rFonts w:hint="eastAsia" w:ascii="Times New Roman" w:hAnsi="Times New Roman" w:eastAsia="方正仿宋_GBK" w:cs="方正仿宋_GBK"/>
          <w:b w:val="0"/>
          <w:bCs w:val="0"/>
          <w:color w:val="auto"/>
          <w:sz w:val="28"/>
          <w:szCs w:val="28"/>
          <w:lang w:eastAsia="zh-CN"/>
        </w:rPr>
        <w:t>生态环境</w:t>
      </w:r>
      <w:r>
        <w:rPr>
          <w:rFonts w:hint="eastAsia" w:ascii="Times New Roman" w:hAnsi="Times New Roman" w:eastAsia="方正仿宋_GBK" w:cs="方正仿宋_GBK"/>
          <w:b w:val="0"/>
          <w:bCs w:val="0"/>
          <w:color w:val="auto"/>
          <w:sz w:val="28"/>
          <w:szCs w:val="28"/>
        </w:rPr>
        <w:t xml:space="preserve">局办公室       </w:t>
      </w:r>
      <w:r>
        <w:rPr>
          <w:rFonts w:hint="eastAsia" w:ascii="Times New Roman" w:hAnsi="Times New Roman" w:eastAsia="方正仿宋_GBK" w:cs="方正仿宋_GBK"/>
          <w:b w:val="0"/>
          <w:bCs w:val="0"/>
          <w:color w:val="auto"/>
          <w:sz w:val="28"/>
          <w:szCs w:val="28"/>
          <w:lang w:val="en-US" w:eastAsia="zh-CN"/>
        </w:rPr>
        <w:t xml:space="preserve">          </w:t>
      </w:r>
      <w:bookmarkStart w:id="1" w:name="_GoBack"/>
      <w:bookmarkEnd w:id="1"/>
      <w:r>
        <w:rPr>
          <w:rFonts w:hint="eastAsia" w:ascii="Times New Roman" w:hAnsi="Times New Roman" w:eastAsia="方正仿宋_GBK" w:cs="方正仿宋_GBK"/>
          <w:b w:val="0"/>
          <w:bCs w:val="0"/>
          <w:color w:val="auto"/>
          <w:sz w:val="28"/>
          <w:szCs w:val="28"/>
          <w:lang w:val="en-US" w:eastAsia="zh-CN"/>
        </w:rPr>
        <w:t xml:space="preserve">     </w:t>
      </w:r>
      <w:r>
        <w:rPr>
          <w:rFonts w:hint="eastAsia" w:ascii="Times New Roman" w:hAnsi="Times New Roman" w:eastAsia="方正仿宋_GBK" w:cs="方正仿宋_GBK"/>
          <w:b w:val="0"/>
          <w:bCs w:val="0"/>
          <w:color w:val="auto"/>
          <w:sz w:val="28"/>
          <w:szCs w:val="28"/>
        </w:rPr>
        <w:t xml:space="preserve">  </w:t>
      </w:r>
      <w:r>
        <w:rPr>
          <w:rFonts w:hint="eastAsia" w:ascii="Times New Roman" w:hAnsi="Times New Roman" w:cs="方正仿宋_GBK"/>
          <w:b w:val="0"/>
          <w:bCs w:val="0"/>
          <w:color w:val="auto"/>
          <w:sz w:val="28"/>
          <w:szCs w:val="28"/>
        </w:rPr>
        <w:t xml:space="preserve"> </w:t>
      </w:r>
      <w:r>
        <w:rPr>
          <w:rFonts w:hint="eastAsia" w:ascii="Times New Roman" w:hAnsi="Times New Roman" w:eastAsia="方正仿宋_GBK" w:cs="方正仿宋_GBK"/>
          <w:b w:val="0"/>
          <w:bCs w:val="0"/>
          <w:color w:val="auto"/>
          <w:sz w:val="28"/>
          <w:szCs w:val="28"/>
        </w:rPr>
        <w:t>202</w:t>
      </w:r>
      <w:r>
        <w:rPr>
          <w:rFonts w:hint="eastAsia" w:ascii="Times New Roman" w:hAnsi="Times New Roman" w:eastAsia="方正仿宋_GBK" w:cs="方正仿宋_GBK"/>
          <w:b w:val="0"/>
          <w:bCs w:val="0"/>
          <w:color w:val="auto"/>
          <w:sz w:val="28"/>
          <w:szCs w:val="28"/>
          <w:lang w:val="en-US" w:eastAsia="zh-CN"/>
        </w:rPr>
        <w:t>5</w:t>
      </w:r>
      <w:r>
        <w:rPr>
          <w:rFonts w:hint="eastAsia" w:ascii="Times New Roman" w:hAnsi="Times New Roman" w:eastAsia="方正仿宋_GBK" w:cs="方正仿宋_GBK"/>
          <w:b w:val="0"/>
          <w:bCs w:val="0"/>
          <w:color w:val="auto"/>
          <w:sz w:val="28"/>
          <w:szCs w:val="28"/>
        </w:rPr>
        <w:t>年</w:t>
      </w:r>
      <w:r>
        <w:rPr>
          <w:rFonts w:hint="eastAsia" w:ascii="Times New Roman" w:hAnsi="Times New Roman" w:eastAsia="方正仿宋_GBK" w:cs="方正仿宋_GBK"/>
          <w:b w:val="0"/>
          <w:bCs w:val="0"/>
          <w:color w:val="auto"/>
          <w:sz w:val="28"/>
          <w:szCs w:val="28"/>
          <w:lang w:val="en-US" w:eastAsia="zh-CN"/>
        </w:rPr>
        <w:t>3</w:t>
      </w:r>
      <w:r>
        <w:rPr>
          <w:rFonts w:hint="eastAsia" w:ascii="Times New Roman" w:hAnsi="Times New Roman" w:eastAsia="方正仿宋_GBK" w:cs="方正仿宋_GBK"/>
          <w:b w:val="0"/>
          <w:bCs w:val="0"/>
          <w:color w:val="auto"/>
          <w:sz w:val="28"/>
          <w:szCs w:val="28"/>
        </w:rPr>
        <w:t>月</w:t>
      </w:r>
      <w:r>
        <w:rPr>
          <w:rFonts w:hint="eastAsia" w:ascii="Times New Roman" w:hAnsi="Times New Roman" w:eastAsia="方正仿宋_GBK" w:cs="方正仿宋_GBK"/>
          <w:b w:val="0"/>
          <w:bCs w:val="0"/>
          <w:color w:val="auto"/>
          <w:sz w:val="28"/>
          <w:szCs w:val="28"/>
          <w:lang w:val="en-US" w:eastAsia="zh-CN"/>
        </w:rPr>
        <w:t>25</w:t>
      </w:r>
      <w:r>
        <w:rPr>
          <w:rFonts w:hint="eastAsia" w:ascii="Times New Roman" w:hAnsi="Times New Roman" w:eastAsia="方正仿宋_GBK" w:cs="方正仿宋_GBK"/>
          <w:b w:val="0"/>
          <w:bCs w:val="0"/>
          <w:color w:val="auto"/>
          <w:sz w:val="28"/>
          <w:szCs w:val="28"/>
        </w:rPr>
        <w:t>日印发</w:t>
      </w:r>
    </w:p>
    <w:sectPr>
      <w:pgSz w:w="11906" w:h="16838"/>
      <w:pgMar w:top="2098" w:right="1531" w:bottom="1984" w:left="1531" w:header="851" w:footer="1474" w:gutter="0"/>
      <w:paperSrc/>
      <w:pgBorders>
        <w:top w:val="none" w:sz="0" w:space="0"/>
        <w:left w:val="none" w:sz="0" w:space="0"/>
        <w:bottom w:val="none" w:sz="0" w:space="0"/>
        <w:right w:val="none" w:sz="0" w:space="0"/>
      </w:pgBorders>
      <w:pgNumType w:fmt="numberInDash"/>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16DE418-0B09-47CF-922B-BA849A8841E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2" w:fontKey="{3F71AC46-A155-4F82-BD2F-BC0E4756C9C7}"/>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方正仿宋_GBK">
    <w:panose1 w:val="03000509000000000000"/>
    <w:charset w:val="86"/>
    <w:family w:val="script"/>
    <w:pitch w:val="default"/>
    <w:sig w:usb0="00000001" w:usb1="080E0000" w:usb2="00000000" w:usb3="00000000" w:csb0="00040000" w:csb1="00000000"/>
    <w:embedRegular r:id="rId3" w:fontKey="{3B0BF7C9-9F7F-4062-A144-F4393D730BD5}"/>
  </w:font>
  <w:font w:name="TimesNewRoman">
    <w:altName w:val="Times New Roman"/>
    <w:panose1 w:val="00000000000000000000"/>
    <w:charset w:val="00"/>
    <w:family w:val="roman"/>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小标宋_GBK">
    <w:panose1 w:val="03000509000000000000"/>
    <w:charset w:val="86"/>
    <w:family w:val="auto"/>
    <w:pitch w:val="default"/>
    <w:sig w:usb0="00000001" w:usb1="080E0000" w:usb2="00000000" w:usb3="00000000" w:csb0="00040000" w:csb1="00000000"/>
    <w:embedRegular r:id="rId4" w:fontKey="{40238C1D-E303-4B9B-9727-EF92A113BF56}"/>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embedRegular r:id="rId5" w:fontKey="{B2D0AD75-1494-4A13-9BAC-85D6599B90E7}"/>
  </w:font>
  <w:font w:name="Wingdings 2">
    <w:panose1 w:val="05020102010507070707"/>
    <w:charset w:val="00"/>
    <w:family w:val="auto"/>
    <w:pitch w:val="default"/>
    <w:sig w:usb0="00000000" w:usb1="00000000" w:usb2="00000000" w:usb3="00000000" w:csb0="8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Cambria">
    <w:panose1 w:val="02040503050406030204"/>
    <w:charset w:val="00"/>
    <w:family w:val="roman"/>
    <w:pitch w:val="default"/>
    <w:sig w:usb0="E00002FF" w:usb1="400004FF" w:usb2="00000000" w:usb3="00000000" w:csb0="2000019F" w:csb1="00000000"/>
  </w:font>
  <w:font w:name="方正楷体_GBK">
    <w:panose1 w:val="03000509000000000000"/>
    <w:charset w:val="86"/>
    <w:family w:val="script"/>
    <w:pitch w:val="default"/>
    <w:sig w:usb0="00000001" w:usb1="080E0000" w:usb2="00000000" w:usb3="00000000" w:csb0="00040000" w:csb1="00000000"/>
    <w:embedRegular r:id="rId6" w:fontKey="{D0FE619D-A02D-48CD-8B45-DF6ABB64CD53}"/>
  </w:font>
  <w:font w:name="Helvetica">
    <w:altName w:val="Arial"/>
    <w:panose1 w:val="020B0604020202020204"/>
    <w:charset w:val="00"/>
    <w:family w:val="swiss"/>
    <w:pitch w:val="default"/>
    <w:sig w:usb0="00000000" w:usb1="00000000" w:usb2="00000009" w:usb3="00000000" w:csb0="000001FF" w:csb1="00000000"/>
  </w:font>
  <w:font w:name="华文宋体">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方正书宋_GBK">
    <w:panose1 w:val="03000509000000000000"/>
    <w:charset w:val="86"/>
    <w:family w:val="auto"/>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幼圆">
    <w:panose1 w:val="02010509060101010101"/>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embedRegular r:id="rId7" w:fontKey="{EF8EFE9F-EEED-4730-A615-8B9F340E2473}"/>
  </w:font>
  <w:font w:name="叶根友毛笔行书2.0版">
    <w:panose1 w:val="02010601030101010101"/>
    <w:charset w:val="86"/>
    <w:family w:val="auto"/>
    <w:pitch w:val="default"/>
    <w:sig w:usb0="00000001"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方正隶书_GBK">
    <w:panose1 w:val="03000509000000000000"/>
    <w:charset w:val="86"/>
    <w:family w:val="auto"/>
    <w:pitch w:val="default"/>
    <w:sig w:usb0="00000001" w:usb1="080E0000" w:usb2="00000000" w:usb3="00000000" w:csb0="00040000" w:csb1="00000000"/>
  </w:font>
  <w:font w:name="方正魏碑_GBK">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auto"/>
    <w:pitch w:val="default"/>
    <w:sig w:usb0="00000001" w:usb1="080E0000" w:usb2="00000000" w:usb3="00000000" w:csb0="00040000" w:csb1="00000000"/>
  </w:font>
  <w:font w:name="BatangChe">
    <w:panose1 w:val="02030609000101010101"/>
    <w:charset w:val="81"/>
    <w:family w:val="auto"/>
    <w:pitch w:val="default"/>
    <w:sig w:usb0="B00002AF" w:usb1="69D77CFB" w:usb2="00000030" w:usb3="00000000" w:csb0="4008009F" w:csb1="DFD70000"/>
  </w:font>
  <w:font w:name="DFKai-SB">
    <w:panose1 w:val="03000509000000000000"/>
    <w:charset w:val="88"/>
    <w:family w:val="auto"/>
    <w:pitch w:val="default"/>
    <w:sig w:usb0="00000003" w:usb1="082E0000" w:usb2="00000016" w:usb3="00000000" w:csb0="00100001" w:csb1="00000000"/>
  </w:font>
  <w:font w:name="Gungsuh">
    <w:panose1 w:val="02030600000101010101"/>
    <w:charset w:val="81"/>
    <w:family w:val="auto"/>
    <w:pitch w:val="default"/>
    <w:sig w:usb0="B00002AF" w:usb1="69D77CFB" w:usb2="00000030" w:usb3="00000000" w:csb0="4008009F" w:csb1="DFD70000"/>
  </w:font>
  <w:font w:name="GungsuhChe">
    <w:panose1 w:val="02030609000101010101"/>
    <w:charset w:val="81"/>
    <w:family w:val="auto"/>
    <w:pitch w:val="default"/>
    <w:sig w:usb0="B00002AF" w:usb1="69D77CFB" w:usb2="00000030" w:usb3="00000000" w:csb0="4008009F" w:csb1="DFD70000"/>
  </w:font>
  <w:font w:name="hakuyoxingshu7000">
    <w:panose1 w:val="02000600000000000000"/>
    <w:charset w:val="86"/>
    <w:family w:val="auto"/>
    <w:pitch w:val="default"/>
    <w:sig w:usb0="FFFFFFFF" w:usb1="E9FFFFFF" w:usb2="0000003F" w:usb3="00000000" w:csb0="603F00FF" w:csb1="FFFF0000"/>
  </w:font>
  <w:font w:name="Malgun Gothic">
    <w:panose1 w:val="020B0503020000020004"/>
    <w:charset w:val="81"/>
    <w:family w:val="auto"/>
    <w:pitch w:val="default"/>
    <w:sig w:usb0="900002AF" w:usb1="01D77CFB" w:usb2="00000012" w:usb3="00000000" w:csb0="00080001" w:csb1="00000000"/>
  </w:font>
  <w:font w:name="Meiryo">
    <w:panose1 w:val="020B0604030504040204"/>
    <w:charset w:val="80"/>
    <w:family w:val="auto"/>
    <w:pitch w:val="default"/>
    <w:sig w:usb0="E10102FF" w:usb1="EAC7FFFF" w:usb2="00010012" w:usb3="00000000" w:csb0="6002009F" w:csb1="DFD70000"/>
  </w:font>
  <w:font w:name="MingLiU-ExtB">
    <w:panose1 w:val="02020500000000000000"/>
    <w:charset w:val="88"/>
    <w:family w:val="auto"/>
    <w:pitch w:val="default"/>
    <w:sig w:usb0="8000002F" w:usb1="02000008" w:usb2="00000000" w:usb3="00000000" w:csb0="00100001" w:csb1="00000000"/>
  </w:font>
  <w:font w:name="MingLiU_HKSCS">
    <w:panose1 w:val="02020500000000000000"/>
    <w:charset w:val="88"/>
    <w:family w:val="auto"/>
    <w:pitch w:val="default"/>
    <w:sig w:usb0="A00002FF" w:usb1="38CFFCFA" w:usb2="00000016" w:usb3="00000000" w:csb0="00100001" w:csb1="00000000"/>
  </w:font>
  <w:font w:name="MingLiU_HKSCS-ExtB">
    <w:panose1 w:val="02020500000000000000"/>
    <w:charset w:val="88"/>
    <w:family w:val="auto"/>
    <w:pitch w:val="default"/>
    <w:sig w:usb0="8000002F" w:usb1="02000008" w:usb2="00000000" w:usb3="00000000" w:csb0="00100001" w:csb1="00000000"/>
  </w:font>
  <w:font w:name="MS Gothic">
    <w:panose1 w:val="020B0609070205080204"/>
    <w:charset w:val="80"/>
    <w:family w:val="auto"/>
    <w:pitch w:val="default"/>
    <w:sig w:usb0="E00002FF" w:usb1="6AC7FDFB" w:usb2="00000012" w:usb3="00000000" w:csb0="4002009F" w:csb1="DFD70000"/>
  </w:font>
  <w:font w:name="MS UI Gothic">
    <w:panose1 w:val="020B0600070205080204"/>
    <w:charset w:val="80"/>
    <w:family w:val="auto"/>
    <w:pitch w:val="default"/>
    <w:sig w:usb0="E00002FF" w:usb1="6AC7FDFB" w:usb2="00000012" w:usb3="00000000" w:csb0="4002009F" w:csb1="DFD70000"/>
  </w:font>
  <w:font w:name="Algerian">
    <w:panose1 w:val="04020705040A02060702"/>
    <w:charset w:val="00"/>
    <w:family w:val="auto"/>
    <w:pitch w:val="default"/>
    <w:sig w:usb0="00000003" w:usb1="00000000" w:usb2="00000000" w:usb3="00000000" w:csb0="20000001" w:csb1="00000000"/>
  </w:font>
  <w:font w:name="Arabic Typesetting">
    <w:panose1 w:val="03020402040406030203"/>
    <w:charset w:val="00"/>
    <w:family w:val="auto"/>
    <w:pitch w:val="default"/>
    <w:sig w:usb0="A000206F" w:usb1="C0000000" w:usb2="00000008" w:usb3="00000000" w:csb0="200000D3" w:csb1="00000000"/>
  </w:font>
  <w:font w:name="Baskerville Old Face">
    <w:panose1 w:val="02020602080505020303"/>
    <w:charset w:val="00"/>
    <w:family w:val="auto"/>
    <w:pitch w:val="default"/>
    <w:sig w:usb0="00000003" w:usb1="00000000" w:usb2="00000000" w:usb3="00000000" w:csb0="20000001" w:csb1="00000000"/>
  </w:font>
  <w:font w:name="Bauhaus 93">
    <w:panose1 w:val="04030905020B02020C02"/>
    <w:charset w:val="00"/>
    <w:family w:val="auto"/>
    <w:pitch w:val="default"/>
    <w:sig w:usb0="00000003" w:usb1="00000000" w:usb2="00000000" w:usb3="00000000" w:csb0="20000001" w:csb1="00000000"/>
  </w:font>
  <w:font w:name="Bell MT">
    <w:panose1 w:val="02020503060305020303"/>
    <w:charset w:val="00"/>
    <w:family w:val="auto"/>
    <w:pitch w:val="default"/>
    <w:sig w:usb0="00000003" w:usb1="00000000" w:usb2="00000000" w:usb3="00000000" w:csb0="20000001" w:csb1="00000000"/>
  </w:font>
  <w:font w:name="Berlin Sans FB">
    <w:panose1 w:val="020E0602020502020306"/>
    <w:charset w:val="00"/>
    <w:family w:val="auto"/>
    <w:pitch w:val="default"/>
    <w:sig w:usb0="00000003" w:usb1="00000000" w:usb2="00000000" w:usb3="00000000" w:csb0="20000001" w:csb1="00000000"/>
  </w:font>
  <w:font w:name="Browallia New">
    <w:panose1 w:val="020B0604020202020204"/>
    <w:charset w:val="00"/>
    <w:family w:val="auto"/>
    <w:pitch w:val="default"/>
    <w:sig w:usb0="81000003" w:usb1="00000000" w:usb2="00000000" w:usb3="00000000" w:csb0="00010001" w:csb1="00000000"/>
  </w:font>
  <w:font w:name="Brush Script MT">
    <w:panose1 w:val="03060802040406070304"/>
    <w:charset w:val="00"/>
    <w:family w:val="auto"/>
    <w:pitch w:val="default"/>
    <w:sig w:usb0="00000003" w:usb1="00000000" w:usb2="00000000" w:usb3="00000000" w:csb0="20000001" w:csb1="00000000"/>
  </w:font>
  <w:font w:name="Calibri Light">
    <w:panose1 w:val="020F0302020204030204"/>
    <w:charset w:val="00"/>
    <w:family w:val="auto"/>
    <w:pitch w:val="default"/>
    <w:sig w:usb0="A00002EF" w:usb1="4000207B" w:usb2="00000000" w:usb3="00000000" w:csb0="2000019F" w:csb1="00000000"/>
  </w:font>
  <w:font w:name="Californian FB">
    <w:panose1 w:val="0207040306080B030204"/>
    <w:charset w:val="00"/>
    <w:family w:val="auto"/>
    <w:pitch w:val="default"/>
    <w:sig w:usb0="00000003" w:usb1="00000000" w:usb2="00000000" w:usb3="00000000" w:csb0="20000001" w:csb1="00000000"/>
  </w:font>
  <w:font w:name="Calisto MT">
    <w:panose1 w:val="02040603050505030304"/>
    <w:charset w:val="00"/>
    <w:family w:val="auto"/>
    <w:pitch w:val="default"/>
    <w:sig w:usb0="00000003" w:usb1="00000000" w:usb2="00000000" w:usb3="00000000" w:csb0="20000001" w:csb1="00000000"/>
  </w:font>
  <w:font w:name="Comic Sans MS">
    <w:panose1 w:val="030F0702030302020204"/>
    <w:charset w:val="00"/>
    <w:family w:val="auto"/>
    <w:pitch w:val="default"/>
    <w:sig w:usb0="00000287" w:usb1="40000013" w:usb2="00000000" w:usb3="00000000" w:csb0="2000009F" w:csb1="00000000"/>
  </w:font>
  <w:font w:name="Consolas">
    <w:panose1 w:val="020B0609020204030204"/>
    <w:charset w:val="00"/>
    <w:family w:val="auto"/>
    <w:pitch w:val="default"/>
    <w:sig w:usb0="E10002FF" w:usb1="4000FCFF" w:usb2="00000009" w:usb3="00000000" w:csb0="6000019F" w:csb1="DFD70000"/>
  </w:font>
  <w:font w:name="Constantia">
    <w:panose1 w:val="02030602050306030303"/>
    <w:charset w:val="00"/>
    <w:family w:val="auto"/>
    <w:pitch w:val="default"/>
    <w:sig w:usb0="A00002EF" w:usb1="4000204B" w:usb2="00000000" w:usb3="00000000" w:csb0="2000019F" w:csb1="00000000"/>
  </w:font>
  <w:font w:name="Cooper Black">
    <w:panose1 w:val="0208090404030B020404"/>
    <w:charset w:val="00"/>
    <w:family w:val="auto"/>
    <w:pitch w:val="default"/>
    <w:sig w:usb0="00000003" w:usb1="00000000" w:usb2="00000000" w:usb3="00000000" w:csb0="20000001" w:csb1="00000000"/>
  </w:font>
  <w:font w:name="Copperplate Gothic Light">
    <w:panose1 w:val="020E0507020206020404"/>
    <w:charset w:val="00"/>
    <w:family w:val="auto"/>
    <w:pitch w:val="default"/>
    <w:sig w:usb0="00000003" w:usb1="00000000" w:usb2="00000000" w:usb3="00000000" w:csb0="20000001" w:csb1="00000000"/>
  </w:font>
  <w:font w:name="Cordia New">
    <w:panose1 w:val="020B0304020202020204"/>
    <w:charset w:val="00"/>
    <w:family w:val="auto"/>
    <w:pitch w:val="default"/>
    <w:sig w:usb0="81000003" w:usb1="00000000" w:usb2="00000000" w:usb3="00000000" w:csb0="00010001" w:csb1="00000000"/>
  </w:font>
  <w:font w:name="CordiaUPC">
    <w:panose1 w:val="020B0304020202020204"/>
    <w:charset w:val="00"/>
    <w:family w:val="auto"/>
    <w:pitch w:val="default"/>
    <w:sig w:usb0="81000003" w:usb1="00000000" w:usb2="00000000" w:usb3="00000000" w:csb0="00010001" w:csb1="00000000"/>
  </w:font>
  <w:font w:name="Courier New">
    <w:panose1 w:val="02070309020205020404"/>
    <w:charset w:val="00"/>
    <w:family w:val="auto"/>
    <w:pitch w:val="default"/>
    <w:sig w:usb0="E0002AFF" w:usb1="C0007843" w:usb2="00000009" w:usb3="00000000" w:csb0="400001FF" w:csb1="FFFF0000"/>
  </w:font>
  <w:font w:name="Curlz MT">
    <w:panose1 w:val="04040404050702020202"/>
    <w:charset w:val="00"/>
    <w:family w:val="auto"/>
    <w:pitch w:val="default"/>
    <w:sig w:usb0="00000003" w:usb1="00000000" w:usb2="00000000" w:usb3="00000000" w:csb0="20000001" w:csb1="00000000"/>
  </w:font>
  <w:font w:name="David">
    <w:panose1 w:val="020E0502060401010101"/>
    <w:charset w:val="00"/>
    <w:family w:val="auto"/>
    <w:pitch w:val="default"/>
    <w:sig w:usb0="00000801" w:usb1="00000000" w:usb2="00000000" w:usb3="00000000" w:csb0="00000020" w:csb1="00200000"/>
  </w:font>
  <w:font w:name="DilleniaUPC">
    <w:panose1 w:val="02020603050405020304"/>
    <w:charset w:val="00"/>
    <w:family w:val="auto"/>
    <w:pitch w:val="default"/>
    <w:sig w:usb0="81000027" w:usb1="00000002" w:usb2="00000000" w:usb3="00000000" w:csb0="00010001" w:csb1="00000000"/>
  </w:font>
  <w:font w:name="DokChampa">
    <w:panose1 w:val="020B0604020202020204"/>
    <w:charset w:val="00"/>
    <w:family w:val="auto"/>
    <w:pitch w:val="default"/>
    <w:sig w:usb0="03000003" w:usb1="00000000" w:usb2="00000000" w:usb3="00000000" w:csb0="40010001" w:csb1="00000000"/>
  </w:font>
  <w:font w:name="Ebrima">
    <w:panose1 w:val="02000000000000000000"/>
    <w:charset w:val="00"/>
    <w:family w:val="auto"/>
    <w:pitch w:val="default"/>
    <w:sig w:usb0="A000505F" w:usb1="02000041" w:usb2="00000000" w:usb3="00000404" w:csb0="00000093" w:csb1="00000000"/>
  </w:font>
  <w:font w:name="Eras Bold ITC">
    <w:panose1 w:val="020B0907030504020204"/>
    <w:charset w:val="00"/>
    <w:family w:val="auto"/>
    <w:pitch w:val="default"/>
    <w:sig w:usb0="00000003" w:usb1="00000000" w:usb2="00000000" w:usb3="00000000" w:csb0="20000001" w:csb1="00000000"/>
  </w:font>
  <w:font w:name="Eras Demi ITC">
    <w:panose1 w:val="020B0805030504020804"/>
    <w:charset w:val="00"/>
    <w:family w:val="auto"/>
    <w:pitch w:val="default"/>
    <w:sig w:usb0="00000003" w:usb1="00000000" w:usb2="00000000" w:usb3="00000000" w:csb0="20000001" w:csb1="00000000"/>
  </w:font>
  <w:font w:name="Eras Light ITC">
    <w:panose1 w:val="020B0402030504020804"/>
    <w:charset w:val="00"/>
    <w:family w:val="auto"/>
    <w:pitch w:val="default"/>
    <w:sig w:usb0="00000003" w:usb1="00000000" w:usb2="00000000" w:usb3="00000000" w:csb0="20000001" w:csb1="00000000"/>
  </w:font>
  <w:font w:name="Eras Medium ITC">
    <w:panose1 w:val="020B0602030504020804"/>
    <w:charset w:val="00"/>
    <w:family w:val="auto"/>
    <w:pitch w:val="default"/>
    <w:sig w:usb0="00000003" w:usb1="00000000" w:usb2="00000000" w:usb3="00000000" w:csb0="20000001" w:csb1="00000000"/>
  </w:font>
  <w:font w:name="Franklin Gothic Book">
    <w:panose1 w:val="020B0503020102020204"/>
    <w:charset w:val="00"/>
    <w:family w:val="auto"/>
    <w:pitch w:val="default"/>
    <w:sig w:usb0="00000287" w:usb1="00000000" w:usb2="00000000" w:usb3="00000000" w:csb0="2000009F" w:csb1="DFD70000"/>
  </w:font>
  <w:font w:name="Franklin Gothic Demi">
    <w:panose1 w:val="020B0703020102020204"/>
    <w:charset w:val="00"/>
    <w:family w:val="auto"/>
    <w:pitch w:val="default"/>
    <w:sig w:usb0="00000287" w:usb1="00000000" w:usb2="00000000" w:usb3="00000000" w:csb0="2000009F" w:csb1="DFD70000"/>
  </w:font>
  <w:font w:name="Franklin Gothic Heavy">
    <w:panose1 w:val="020B0903020102020204"/>
    <w:charset w:val="00"/>
    <w:family w:val="auto"/>
    <w:pitch w:val="default"/>
    <w:sig w:usb0="00000287" w:usb1="00000000" w:usb2="00000000" w:usb3="00000000" w:csb0="2000009F" w:csb1="DFD70000"/>
  </w:font>
  <w:font w:name="Franklin Gothic Medium">
    <w:panose1 w:val="020B0603020102020204"/>
    <w:charset w:val="00"/>
    <w:family w:val="auto"/>
    <w:pitch w:val="default"/>
    <w:sig w:usb0="00000287" w:usb1="00000000" w:usb2="00000000" w:usb3="00000000" w:csb0="2000009F" w:csb1="DFD70000"/>
  </w:font>
  <w:font w:name="Franklin Gothic Demi Cond">
    <w:panose1 w:val="020B0706030402020204"/>
    <w:charset w:val="00"/>
    <w:family w:val="auto"/>
    <w:pitch w:val="default"/>
    <w:sig w:usb0="00000287" w:usb1="00000000" w:usb2="00000000" w:usb3="00000000" w:csb0="2000009F" w:csb1="DFD70000"/>
  </w:font>
  <w:font w:name="Forte">
    <w:panose1 w:val="03060902040502070203"/>
    <w:charset w:val="00"/>
    <w:family w:val="auto"/>
    <w:pitch w:val="default"/>
    <w:sig w:usb0="00000003" w:usb1="00000000" w:usb2="00000000" w:usb3="00000000" w:csb0="20000001" w:csb1="00000000"/>
  </w:font>
  <w:font w:name="Footlight MT Light">
    <w:panose1 w:val="0204060206030A020304"/>
    <w:charset w:val="00"/>
    <w:family w:val="auto"/>
    <w:pitch w:val="default"/>
    <w:sig w:usb0="00000003" w:usb1="00000000" w:usb2="00000000" w:usb3="00000000" w:csb0="20000001" w:csb1="00000000"/>
  </w:font>
  <w:font w:name="Felix Titling">
    <w:panose1 w:val="04060505060202020A04"/>
    <w:charset w:val="00"/>
    <w:family w:val="auto"/>
    <w:pitch w:val="default"/>
    <w:sig w:usb0="00000003" w:usb1="00000000" w:usb2="00000000" w:usb3="00000000" w:csb0="20000001" w:csb1="00000000"/>
  </w:font>
  <w:font w:name="Garamond">
    <w:panose1 w:val="02020404030301010803"/>
    <w:charset w:val="00"/>
    <w:family w:val="auto"/>
    <w:pitch w:val="default"/>
    <w:sig w:usb0="00000287" w:usb1="00000000" w:usb2="00000000" w:usb3="00000000" w:csb0="0000009F" w:csb1="DFD70000"/>
  </w:font>
  <w:font w:name="Gabriola">
    <w:panose1 w:val="04040605051002020D02"/>
    <w:charset w:val="00"/>
    <w:family w:val="auto"/>
    <w:pitch w:val="default"/>
    <w:sig w:usb0="E00002EF" w:usb1="5000204B" w:usb2="00000000" w:usb3="00000000" w:csb0="2000009F" w:csb1="00000000"/>
  </w:font>
  <w:font w:name="方正姚体">
    <w:panose1 w:val="02010601030101010101"/>
    <w:charset w:val="86"/>
    <w:family w:val="auto"/>
    <w:pitch w:val="default"/>
    <w:sig w:usb0="00000003" w:usb1="080E0000" w:usb2="00000000" w:usb3="00000000" w:csb0="00040000" w:csb1="00000000"/>
  </w:font>
  <w:font w:name="Snap ITC">
    <w:panose1 w:val="04040A07060A02020202"/>
    <w:charset w:val="00"/>
    <w:family w:val="auto"/>
    <w:pitch w:val="default"/>
    <w:sig w:usb0="00000003" w:usb1="00000000" w:usb2="00000000" w:usb3="00000000" w:csb0="20000001" w:csb1="00000000"/>
  </w:font>
  <w:font w:name="Stencil">
    <w:panose1 w:val="040409050D0802020404"/>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Theme="minorEastAsia"/>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ufGT8ICAADWBQAADgAAAAAA&#10;AAABACAAAAAfAQAAZHJzL2Uyb0RvYy54bWxQSwUGAAAAAAYABgBZAQAAUwYAAAAA&#10;">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9"/>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utoSpaceDE w:val="0"/>
      <w:autoSpaceDN w:val="0"/>
      <w:adjustRightInd w:val="0"/>
      <w:snapToGrid w:val="0"/>
      <w:spacing w:before="1" w:line="165" w:lineRule="auto"/>
      <w:ind w:left="6163"/>
      <w:jc w:val="left"/>
      <w:textAlignment w:val="baseline"/>
      <w:rPr>
        <w:rFonts w:ascii="宋体" w:hAnsi="宋体" w:eastAsia="宋体" w:cs="宋体"/>
        <w:snapToGrid w:val="0"/>
        <w:color w:val="000000"/>
        <w:kern w:val="0"/>
        <w:sz w:val="28"/>
        <w:szCs w:val="28"/>
        <w:lang w:eastAsia="en-US"/>
        <w14:ligatures w14:val="none"/>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snapToGrid w:val="0"/>
        <w:jc w:val="both"/>
      </w:pPr>
      <w:r>
        <w:rPr>
          <w:rStyle w:val="16"/>
        </w:rPr>
        <w:footnoteRef/>
      </w:r>
      <w:r>
        <w:t xml:space="preserve"> </w:t>
      </w:r>
      <w:r>
        <w:rPr>
          <w:rFonts w:hint="eastAsia" w:ascii="方正仿宋_GBK" w:hAnsi="方正仿宋_GBK" w:eastAsia="方正仿宋_GBK" w:cs="方正仿宋_GBK"/>
          <w:lang w:val="en-US" w:eastAsia="zh-CN"/>
        </w:rPr>
        <w:t>根据</w:t>
      </w:r>
      <w:r>
        <w:rPr>
          <w:rFonts w:hint="eastAsia" w:ascii="方正仿宋_GBK" w:hAnsi="方正仿宋_GBK" w:eastAsia="方正仿宋_GBK" w:cs="方正仿宋_GBK"/>
          <w:color w:val="auto"/>
          <w:szCs w:val="21"/>
        </w:rPr>
        <w:t>《统计上大中小微型企业划分办法》中</w:t>
      </w:r>
      <w:r>
        <w:rPr>
          <w:rFonts w:hint="eastAsia" w:ascii="方正仿宋_GBK" w:hAnsi="方正仿宋_GBK" w:eastAsia="方正仿宋_GBK" w:cs="方正仿宋_GBK"/>
          <w:color w:val="auto"/>
          <w:szCs w:val="21"/>
          <w:lang w:eastAsia="zh-CN"/>
        </w:rPr>
        <w:t>“</w:t>
      </w:r>
      <w:r>
        <w:rPr>
          <w:rFonts w:hint="eastAsia" w:ascii="方正仿宋_GBK" w:hAnsi="方正仿宋_GBK" w:eastAsia="方正仿宋_GBK" w:cs="方正仿宋_GBK"/>
          <w:color w:val="auto"/>
          <w:szCs w:val="21"/>
        </w:rPr>
        <w:t>规模以上</w:t>
      </w:r>
      <w:r>
        <w:rPr>
          <w:rFonts w:hint="eastAsia" w:ascii="方正仿宋_GBK" w:hAnsi="方正仿宋_GBK" w:eastAsia="方正仿宋_GBK" w:cs="方正仿宋_GBK"/>
          <w:color w:val="auto"/>
          <w:szCs w:val="21"/>
          <w:lang w:eastAsia="zh-CN"/>
        </w:rPr>
        <w:t>”</w:t>
      </w:r>
      <w:r>
        <w:rPr>
          <w:rFonts w:hint="eastAsia" w:ascii="方正仿宋_GBK" w:hAnsi="方正仿宋_GBK" w:eastAsia="方正仿宋_GBK" w:cs="方正仿宋_GBK"/>
          <w:color w:val="auto"/>
          <w:szCs w:val="21"/>
        </w:rPr>
        <w:t>通常指年主营业务收入</w:t>
      </w:r>
      <w:r>
        <w:rPr>
          <w:rFonts w:hint="default" w:ascii="Times New Roman" w:hAnsi="Times New Roman" w:eastAsia="方正仿宋_GBK" w:cs="Times New Roman"/>
          <w:color w:val="auto"/>
          <w:szCs w:val="21"/>
        </w:rPr>
        <w:t>2000万</w:t>
      </w:r>
      <w:r>
        <w:rPr>
          <w:rFonts w:hint="eastAsia" w:ascii="方正仿宋_GBK" w:hAnsi="方正仿宋_GBK" w:eastAsia="方正仿宋_GBK" w:cs="方正仿宋_GBK"/>
          <w:color w:val="auto"/>
          <w:szCs w:val="21"/>
        </w:rPr>
        <w:t>元及以上的工业企业</w:t>
      </w:r>
      <w:r>
        <w:rPr>
          <w:rFonts w:hint="eastAsia" w:ascii="方正仿宋_GBK" w:hAnsi="方正仿宋_GBK" w:eastAsia="方正仿宋_GBK" w:cs="方正仿宋_GBK"/>
          <w:i w:val="0"/>
          <w:iCs w:val="0"/>
          <w:caps w:val="0"/>
          <w:color w:val="auto"/>
          <w:spacing w:val="0"/>
          <w:kern w:val="2"/>
          <w:sz w:val="21"/>
          <w:szCs w:val="21"/>
          <w:lang w:val="en-US" w:eastAsia="zh-CN" w:bidi="ar-SA"/>
          <w14:ligatures w14:val="standardContextua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28054C"/>
    <w:multiLevelType w:val="singleLevel"/>
    <w:tmpl w:val="B128054C"/>
    <w:lvl w:ilvl="0" w:tentative="0">
      <w:start w:val="1"/>
      <w:numFmt w:val="decimal"/>
      <w:suff w:val="nothing"/>
      <w:lvlText w:val="%1．"/>
      <w:lvlJc w:val="left"/>
      <w:pPr>
        <w:ind w:left="0" w:firstLine="400"/>
      </w:pPr>
      <w:rPr>
        <w:rFonts w:hint="default"/>
      </w:rPr>
    </w:lvl>
  </w:abstractNum>
  <w:abstractNum w:abstractNumId="1">
    <w:nsid w:val="01DAA0A7"/>
    <w:multiLevelType w:val="singleLevel"/>
    <w:tmpl w:val="01DAA0A7"/>
    <w:lvl w:ilvl="0" w:tentative="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2"/>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lhMDRkNjI3ZjZlZWY3NGRhNzdjNDllMmE2MjBmZWEifQ=="/>
  </w:docVars>
  <w:rsids>
    <w:rsidRoot w:val="00DE15D7"/>
    <w:rsid w:val="00006AD7"/>
    <w:rsid w:val="00025985"/>
    <w:rsid w:val="00026229"/>
    <w:rsid w:val="00026365"/>
    <w:rsid w:val="0003146D"/>
    <w:rsid w:val="00032AF0"/>
    <w:rsid w:val="000347B3"/>
    <w:rsid w:val="00036F2A"/>
    <w:rsid w:val="000502B8"/>
    <w:rsid w:val="00061187"/>
    <w:rsid w:val="00070C62"/>
    <w:rsid w:val="000B0EC9"/>
    <w:rsid w:val="000B6DFA"/>
    <w:rsid w:val="000C7012"/>
    <w:rsid w:val="000C7A67"/>
    <w:rsid w:val="000D3CEA"/>
    <w:rsid w:val="000D4DA0"/>
    <w:rsid w:val="000F061D"/>
    <w:rsid w:val="000F4D49"/>
    <w:rsid w:val="0010427D"/>
    <w:rsid w:val="00110F2E"/>
    <w:rsid w:val="001161FD"/>
    <w:rsid w:val="00116497"/>
    <w:rsid w:val="0012118F"/>
    <w:rsid w:val="00123A2F"/>
    <w:rsid w:val="0012666C"/>
    <w:rsid w:val="001305B7"/>
    <w:rsid w:val="00131570"/>
    <w:rsid w:val="0013421C"/>
    <w:rsid w:val="001440B9"/>
    <w:rsid w:val="001458B6"/>
    <w:rsid w:val="00154DDF"/>
    <w:rsid w:val="0015539B"/>
    <w:rsid w:val="00156D81"/>
    <w:rsid w:val="0016356A"/>
    <w:rsid w:val="00163B8A"/>
    <w:rsid w:val="0017658D"/>
    <w:rsid w:val="00177A1F"/>
    <w:rsid w:val="00182B70"/>
    <w:rsid w:val="001929F2"/>
    <w:rsid w:val="001940A9"/>
    <w:rsid w:val="001A527D"/>
    <w:rsid w:val="001B16CA"/>
    <w:rsid w:val="001C66E0"/>
    <w:rsid w:val="001C684F"/>
    <w:rsid w:val="001C6967"/>
    <w:rsid w:val="001C7F19"/>
    <w:rsid w:val="001D0E09"/>
    <w:rsid w:val="001E4817"/>
    <w:rsid w:val="001E68B5"/>
    <w:rsid w:val="00205ECE"/>
    <w:rsid w:val="002166A0"/>
    <w:rsid w:val="00221D4C"/>
    <w:rsid w:val="002273DE"/>
    <w:rsid w:val="00241905"/>
    <w:rsid w:val="00242443"/>
    <w:rsid w:val="00243C88"/>
    <w:rsid w:val="00262466"/>
    <w:rsid w:val="00263D5C"/>
    <w:rsid w:val="002727EC"/>
    <w:rsid w:val="00276C12"/>
    <w:rsid w:val="002821A0"/>
    <w:rsid w:val="00290CBE"/>
    <w:rsid w:val="0029327A"/>
    <w:rsid w:val="002B2ED6"/>
    <w:rsid w:val="002B3AAB"/>
    <w:rsid w:val="002B406A"/>
    <w:rsid w:val="002B5ABE"/>
    <w:rsid w:val="002C63AD"/>
    <w:rsid w:val="002C7E10"/>
    <w:rsid w:val="002D4DA9"/>
    <w:rsid w:val="002E21C5"/>
    <w:rsid w:val="002E3A5B"/>
    <w:rsid w:val="0030157A"/>
    <w:rsid w:val="00301EA9"/>
    <w:rsid w:val="00322037"/>
    <w:rsid w:val="00325E23"/>
    <w:rsid w:val="003263CE"/>
    <w:rsid w:val="00327CB1"/>
    <w:rsid w:val="00330AE2"/>
    <w:rsid w:val="00341F0C"/>
    <w:rsid w:val="003542FE"/>
    <w:rsid w:val="00354443"/>
    <w:rsid w:val="00355869"/>
    <w:rsid w:val="00355B3A"/>
    <w:rsid w:val="00356EE5"/>
    <w:rsid w:val="00356FD3"/>
    <w:rsid w:val="00357E0D"/>
    <w:rsid w:val="00390177"/>
    <w:rsid w:val="00392556"/>
    <w:rsid w:val="003961C2"/>
    <w:rsid w:val="003A171B"/>
    <w:rsid w:val="003B46AF"/>
    <w:rsid w:val="003B7EB0"/>
    <w:rsid w:val="003C223B"/>
    <w:rsid w:val="003C400D"/>
    <w:rsid w:val="003C40A4"/>
    <w:rsid w:val="003C4EB2"/>
    <w:rsid w:val="003D1563"/>
    <w:rsid w:val="003F03E9"/>
    <w:rsid w:val="003F59DE"/>
    <w:rsid w:val="004029BB"/>
    <w:rsid w:val="00410011"/>
    <w:rsid w:val="00413E6C"/>
    <w:rsid w:val="00417E23"/>
    <w:rsid w:val="004211EC"/>
    <w:rsid w:val="00421DCC"/>
    <w:rsid w:val="00433A45"/>
    <w:rsid w:val="004373B9"/>
    <w:rsid w:val="00437FAC"/>
    <w:rsid w:val="00446671"/>
    <w:rsid w:val="004501A9"/>
    <w:rsid w:val="0045093B"/>
    <w:rsid w:val="00461BF9"/>
    <w:rsid w:val="00467394"/>
    <w:rsid w:val="00470D47"/>
    <w:rsid w:val="004875BC"/>
    <w:rsid w:val="0049108E"/>
    <w:rsid w:val="004A38B5"/>
    <w:rsid w:val="004A45B4"/>
    <w:rsid w:val="004B15E3"/>
    <w:rsid w:val="004B3FD6"/>
    <w:rsid w:val="004B4EE0"/>
    <w:rsid w:val="004B5FD3"/>
    <w:rsid w:val="004C68F5"/>
    <w:rsid w:val="004D2A75"/>
    <w:rsid w:val="004D4149"/>
    <w:rsid w:val="004D5AFF"/>
    <w:rsid w:val="004D6899"/>
    <w:rsid w:val="004E00FF"/>
    <w:rsid w:val="004E14F7"/>
    <w:rsid w:val="004E46FF"/>
    <w:rsid w:val="004E7551"/>
    <w:rsid w:val="004F7C98"/>
    <w:rsid w:val="005028E8"/>
    <w:rsid w:val="005203C2"/>
    <w:rsid w:val="00520F40"/>
    <w:rsid w:val="00524993"/>
    <w:rsid w:val="00530AC4"/>
    <w:rsid w:val="00530B78"/>
    <w:rsid w:val="005359AD"/>
    <w:rsid w:val="005375F3"/>
    <w:rsid w:val="00542F6A"/>
    <w:rsid w:val="00543AE8"/>
    <w:rsid w:val="00552AD7"/>
    <w:rsid w:val="005755E2"/>
    <w:rsid w:val="00581A31"/>
    <w:rsid w:val="00584BF6"/>
    <w:rsid w:val="0059044D"/>
    <w:rsid w:val="00590523"/>
    <w:rsid w:val="005920B4"/>
    <w:rsid w:val="005979FB"/>
    <w:rsid w:val="005A6664"/>
    <w:rsid w:val="005A6E3C"/>
    <w:rsid w:val="005C02BE"/>
    <w:rsid w:val="005C22AF"/>
    <w:rsid w:val="005C3C82"/>
    <w:rsid w:val="005C3DD2"/>
    <w:rsid w:val="005C49AC"/>
    <w:rsid w:val="005C71C6"/>
    <w:rsid w:val="005C7D30"/>
    <w:rsid w:val="005D7D25"/>
    <w:rsid w:val="005E22B4"/>
    <w:rsid w:val="005E707E"/>
    <w:rsid w:val="005F1B1F"/>
    <w:rsid w:val="00603A46"/>
    <w:rsid w:val="006073AD"/>
    <w:rsid w:val="00621466"/>
    <w:rsid w:val="00622CAB"/>
    <w:rsid w:val="00626D5F"/>
    <w:rsid w:val="006303F2"/>
    <w:rsid w:val="006307C5"/>
    <w:rsid w:val="006333F0"/>
    <w:rsid w:val="00633DDE"/>
    <w:rsid w:val="00636D6E"/>
    <w:rsid w:val="0064024C"/>
    <w:rsid w:val="006429DA"/>
    <w:rsid w:val="0064491C"/>
    <w:rsid w:val="006452D3"/>
    <w:rsid w:val="00646CD0"/>
    <w:rsid w:val="00646EDE"/>
    <w:rsid w:val="00647D2F"/>
    <w:rsid w:val="006538FC"/>
    <w:rsid w:val="006637AD"/>
    <w:rsid w:val="00671895"/>
    <w:rsid w:val="0067238E"/>
    <w:rsid w:val="006747AF"/>
    <w:rsid w:val="006753C3"/>
    <w:rsid w:val="00677BF0"/>
    <w:rsid w:val="0068027F"/>
    <w:rsid w:val="006870BB"/>
    <w:rsid w:val="006A1732"/>
    <w:rsid w:val="006A207C"/>
    <w:rsid w:val="006B02E2"/>
    <w:rsid w:val="006B5BAB"/>
    <w:rsid w:val="006B6686"/>
    <w:rsid w:val="006B7C5A"/>
    <w:rsid w:val="006C09B0"/>
    <w:rsid w:val="006C2A38"/>
    <w:rsid w:val="006C42F1"/>
    <w:rsid w:val="006C4CC2"/>
    <w:rsid w:val="006E40DF"/>
    <w:rsid w:val="006E4EBF"/>
    <w:rsid w:val="006E60BC"/>
    <w:rsid w:val="006F6E66"/>
    <w:rsid w:val="006F7D01"/>
    <w:rsid w:val="007051F4"/>
    <w:rsid w:val="00705E17"/>
    <w:rsid w:val="0070677F"/>
    <w:rsid w:val="007152C6"/>
    <w:rsid w:val="00722289"/>
    <w:rsid w:val="0072773C"/>
    <w:rsid w:val="00727D5C"/>
    <w:rsid w:val="00735D02"/>
    <w:rsid w:val="00750087"/>
    <w:rsid w:val="00753E64"/>
    <w:rsid w:val="0075427C"/>
    <w:rsid w:val="007560A2"/>
    <w:rsid w:val="00756304"/>
    <w:rsid w:val="00760CE8"/>
    <w:rsid w:val="00770F60"/>
    <w:rsid w:val="00772A43"/>
    <w:rsid w:val="00772A5B"/>
    <w:rsid w:val="0078503A"/>
    <w:rsid w:val="00785DCE"/>
    <w:rsid w:val="0079048B"/>
    <w:rsid w:val="007B46EB"/>
    <w:rsid w:val="007B55BC"/>
    <w:rsid w:val="007D323C"/>
    <w:rsid w:val="007E47DD"/>
    <w:rsid w:val="00800DFC"/>
    <w:rsid w:val="00800F3A"/>
    <w:rsid w:val="0080286C"/>
    <w:rsid w:val="008039D8"/>
    <w:rsid w:val="00807892"/>
    <w:rsid w:val="00811D97"/>
    <w:rsid w:val="00815147"/>
    <w:rsid w:val="008169D5"/>
    <w:rsid w:val="00817292"/>
    <w:rsid w:val="008258DD"/>
    <w:rsid w:val="0082756B"/>
    <w:rsid w:val="00832CA3"/>
    <w:rsid w:val="00833F35"/>
    <w:rsid w:val="00836FC5"/>
    <w:rsid w:val="008513BB"/>
    <w:rsid w:val="00851E49"/>
    <w:rsid w:val="0085294B"/>
    <w:rsid w:val="00855DF4"/>
    <w:rsid w:val="008628B8"/>
    <w:rsid w:val="00864C9C"/>
    <w:rsid w:val="00865615"/>
    <w:rsid w:val="00865C49"/>
    <w:rsid w:val="00876707"/>
    <w:rsid w:val="008768CB"/>
    <w:rsid w:val="00881355"/>
    <w:rsid w:val="008922A6"/>
    <w:rsid w:val="00894209"/>
    <w:rsid w:val="0089684B"/>
    <w:rsid w:val="0089701F"/>
    <w:rsid w:val="00897886"/>
    <w:rsid w:val="008A0EB6"/>
    <w:rsid w:val="008A5839"/>
    <w:rsid w:val="008A5FAE"/>
    <w:rsid w:val="008B1F6A"/>
    <w:rsid w:val="008B7A34"/>
    <w:rsid w:val="008B7E23"/>
    <w:rsid w:val="008C1BD9"/>
    <w:rsid w:val="008C282D"/>
    <w:rsid w:val="008C3D35"/>
    <w:rsid w:val="008C5A74"/>
    <w:rsid w:val="008C6081"/>
    <w:rsid w:val="008D484F"/>
    <w:rsid w:val="008E52B0"/>
    <w:rsid w:val="008F3406"/>
    <w:rsid w:val="008F7772"/>
    <w:rsid w:val="00907C3A"/>
    <w:rsid w:val="00923A25"/>
    <w:rsid w:val="00941052"/>
    <w:rsid w:val="0094242E"/>
    <w:rsid w:val="009454FD"/>
    <w:rsid w:val="0095092A"/>
    <w:rsid w:val="00954613"/>
    <w:rsid w:val="00955090"/>
    <w:rsid w:val="0095733E"/>
    <w:rsid w:val="00966C26"/>
    <w:rsid w:val="00966CEC"/>
    <w:rsid w:val="00981559"/>
    <w:rsid w:val="0098211F"/>
    <w:rsid w:val="00983BB5"/>
    <w:rsid w:val="00987AB2"/>
    <w:rsid w:val="00992B44"/>
    <w:rsid w:val="009B05D5"/>
    <w:rsid w:val="009B27B1"/>
    <w:rsid w:val="009C4C4E"/>
    <w:rsid w:val="009C7CA4"/>
    <w:rsid w:val="009D4219"/>
    <w:rsid w:val="009D72F7"/>
    <w:rsid w:val="009D7E87"/>
    <w:rsid w:val="009E1B08"/>
    <w:rsid w:val="009E2493"/>
    <w:rsid w:val="009E57C8"/>
    <w:rsid w:val="009F3A66"/>
    <w:rsid w:val="009F5DFB"/>
    <w:rsid w:val="00A128FA"/>
    <w:rsid w:val="00A17BCE"/>
    <w:rsid w:val="00A33C58"/>
    <w:rsid w:val="00A350D5"/>
    <w:rsid w:val="00A45346"/>
    <w:rsid w:val="00A522CB"/>
    <w:rsid w:val="00A53A7F"/>
    <w:rsid w:val="00A61A18"/>
    <w:rsid w:val="00A6267D"/>
    <w:rsid w:val="00A62F20"/>
    <w:rsid w:val="00A65281"/>
    <w:rsid w:val="00A70964"/>
    <w:rsid w:val="00A7619B"/>
    <w:rsid w:val="00A76BC0"/>
    <w:rsid w:val="00A81E4B"/>
    <w:rsid w:val="00A8642A"/>
    <w:rsid w:val="00A8718B"/>
    <w:rsid w:val="00A94198"/>
    <w:rsid w:val="00AA7979"/>
    <w:rsid w:val="00AB37B4"/>
    <w:rsid w:val="00AB3E4A"/>
    <w:rsid w:val="00AB7489"/>
    <w:rsid w:val="00AC2B3F"/>
    <w:rsid w:val="00AC3161"/>
    <w:rsid w:val="00AC634B"/>
    <w:rsid w:val="00AD2EE2"/>
    <w:rsid w:val="00AD371B"/>
    <w:rsid w:val="00AF2BE9"/>
    <w:rsid w:val="00AF5FE9"/>
    <w:rsid w:val="00B03655"/>
    <w:rsid w:val="00B0556F"/>
    <w:rsid w:val="00B131DB"/>
    <w:rsid w:val="00B139FF"/>
    <w:rsid w:val="00B17B35"/>
    <w:rsid w:val="00B2362F"/>
    <w:rsid w:val="00B31293"/>
    <w:rsid w:val="00B34AE8"/>
    <w:rsid w:val="00B41267"/>
    <w:rsid w:val="00B45E44"/>
    <w:rsid w:val="00B47B7B"/>
    <w:rsid w:val="00B50E06"/>
    <w:rsid w:val="00B54E40"/>
    <w:rsid w:val="00B54FFD"/>
    <w:rsid w:val="00B5662F"/>
    <w:rsid w:val="00B71994"/>
    <w:rsid w:val="00B72C0D"/>
    <w:rsid w:val="00B76AE3"/>
    <w:rsid w:val="00B80B1C"/>
    <w:rsid w:val="00B940F9"/>
    <w:rsid w:val="00B94FB2"/>
    <w:rsid w:val="00B9586D"/>
    <w:rsid w:val="00BA41F4"/>
    <w:rsid w:val="00BB1381"/>
    <w:rsid w:val="00BB2A09"/>
    <w:rsid w:val="00BB2E8E"/>
    <w:rsid w:val="00BB6302"/>
    <w:rsid w:val="00BB79B1"/>
    <w:rsid w:val="00BC07EE"/>
    <w:rsid w:val="00BD19F1"/>
    <w:rsid w:val="00BD7397"/>
    <w:rsid w:val="00BD7B90"/>
    <w:rsid w:val="00BE5E56"/>
    <w:rsid w:val="00BE7873"/>
    <w:rsid w:val="00BF4DED"/>
    <w:rsid w:val="00C43061"/>
    <w:rsid w:val="00C46428"/>
    <w:rsid w:val="00C47980"/>
    <w:rsid w:val="00C63DC5"/>
    <w:rsid w:val="00C6594C"/>
    <w:rsid w:val="00C75692"/>
    <w:rsid w:val="00C8188C"/>
    <w:rsid w:val="00C8524F"/>
    <w:rsid w:val="00C85B7D"/>
    <w:rsid w:val="00C93AE4"/>
    <w:rsid w:val="00C96374"/>
    <w:rsid w:val="00CA1AE1"/>
    <w:rsid w:val="00CA5391"/>
    <w:rsid w:val="00CA566D"/>
    <w:rsid w:val="00CB0795"/>
    <w:rsid w:val="00CB50A3"/>
    <w:rsid w:val="00CB6883"/>
    <w:rsid w:val="00CD2089"/>
    <w:rsid w:val="00CD42F1"/>
    <w:rsid w:val="00CD44BF"/>
    <w:rsid w:val="00CF03D5"/>
    <w:rsid w:val="00CF07F9"/>
    <w:rsid w:val="00CF4F96"/>
    <w:rsid w:val="00D06159"/>
    <w:rsid w:val="00D12434"/>
    <w:rsid w:val="00D206CD"/>
    <w:rsid w:val="00D26712"/>
    <w:rsid w:val="00D27662"/>
    <w:rsid w:val="00D30DEE"/>
    <w:rsid w:val="00D40708"/>
    <w:rsid w:val="00D5032F"/>
    <w:rsid w:val="00D510CF"/>
    <w:rsid w:val="00D54352"/>
    <w:rsid w:val="00D572BF"/>
    <w:rsid w:val="00D62F78"/>
    <w:rsid w:val="00D70DC3"/>
    <w:rsid w:val="00D7573F"/>
    <w:rsid w:val="00D77390"/>
    <w:rsid w:val="00D86AC1"/>
    <w:rsid w:val="00D92540"/>
    <w:rsid w:val="00D9357F"/>
    <w:rsid w:val="00DA0251"/>
    <w:rsid w:val="00DA1212"/>
    <w:rsid w:val="00DA2AEA"/>
    <w:rsid w:val="00DA43DB"/>
    <w:rsid w:val="00DB2419"/>
    <w:rsid w:val="00DB69C6"/>
    <w:rsid w:val="00DC7FBD"/>
    <w:rsid w:val="00DE15D7"/>
    <w:rsid w:val="00DE6B03"/>
    <w:rsid w:val="00DF3F42"/>
    <w:rsid w:val="00E02C57"/>
    <w:rsid w:val="00E12327"/>
    <w:rsid w:val="00E23B06"/>
    <w:rsid w:val="00E266D9"/>
    <w:rsid w:val="00E27654"/>
    <w:rsid w:val="00E37640"/>
    <w:rsid w:val="00E409CC"/>
    <w:rsid w:val="00E575B7"/>
    <w:rsid w:val="00E63B66"/>
    <w:rsid w:val="00E63E2A"/>
    <w:rsid w:val="00E64698"/>
    <w:rsid w:val="00E654A1"/>
    <w:rsid w:val="00E67808"/>
    <w:rsid w:val="00E734E8"/>
    <w:rsid w:val="00E7567E"/>
    <w:rsid w:val="00E776D5"/>
    <w:rsid w:val="00E84576"/>
    <w:rsid w:val="00E85DE5"/>
    <w:rsid w:val="00E912D3"/>
    <w:rsid w:val="00EB1880"/>
    <w:rsid w:val="00EB1D0E"/>
    <w:rsid w:val="00EB37BD"/>
    <w:rsid w:val="00EB3990"/>
    <w:rsid w:val="00EB4E3D"/>
    <w:rsid w:val="00EC05D8"/>
    <w:rsid w:val="00EC251D"/>
    <w:rsid w:val="00EC26B4"/>
    <w:rsid w:val="00EC4595"/>
    <w:rsid w:val="00EC50B8"/>
    <w:rsid w:val="00EC771B"/>
    <w:rsid w:val="00EE2BA1"/>
    <w:rsid w:val="00EE4790"/>
    <w:rsid w:val="00EE47A2"/>
    <w:rsid w:val="00EF4DD9"/>
    <w:rsid w:val="00F05AA1"/>
    <w:rsid w:val="00F07273"/>
    <w:rsid w:val="00F11173"/>
    <w:rsid w:val="00F16912"/>
    <w:rsid w:val="00F1758C"/>
    <w:rsid w:val="00F235D4"/>
    <w:rsid w:val="00F2480E"/>
    <w:rsid w:val="00F3126E"/>
    <w:rsid w:val="00F32BD0"/>
    <w:rsid w:val="00F34A49"/>
    <w:rsid w:val="00F443AA"/>
    <w:rsid w:val="00F52D5A"/>
    <w:rsid w:val="00F53EBD"/>
    <w:rsid w:val="00F6013B"/>
    <w:rsid w:val="00F6064A"/>
    <w:rsid w:val="00F655F5"/>
    <w:rsid w:val="00F73A8D"/>
    <w:rsid w:val="00F75E2A"/>
    <w:rsid w:val="00F76ACD"/>
    <w:rsid w:val="00F80D2D"/>
    <w:rsid w:val="00F85F79"/>
    <w:rsid w:val="00F86143"/>
    <w:rsid w:val="00F97629"/>
    <w:rsid w:val="00F97817"/>
    <w:rsid w:val="00FA0527"/>
    <w:rsid w:val="00FA4979"/>
    <w:rsid w:val="00FC4C10"/>
    <w:rsid w:val="00FC5E18"/>
    <w:rsid w:val="00FD1E76"/>
    <w:rsid w:val="00FD3449"/>
    <w:rsid w:val="00FD4DFD"/>
    <w:rsid w:val="00FE1A9F"/>
    <w:rsid w:val="00FE2B6A"/>
    <w:rsid w:val="00FE583C"/>
    <w:rsid w:val="00FF567E"/>
    <w:rsid w:val="00FF5E7C"/>
    <w:rsid w:val="00FF61F3"/>
    <w:rsid w:val="00FF742A"/>
    <w:rsid w:val="00FF7681"/>
    <w:rsid w:val="01052361"/>
    <w:rsid w:val="014D28C9"/>
    <w:rsid w:val="017A36FD"/>
    <w:rsid w:val="0198464C"/>
    <w:rsid w:val="019A1BEB"/>
    <w:rsid w:val="01EB6F22"/>
    <w:rsid w:val="01F176F8"/>
    <w:rsid w:val="020A32B5"/>
    <w:rsid w:val="021F1548"/>
    <w:rsid w:val="02551A35"/>
    <w:rsid w:val="025B3064"/>
    <w:rsid w:val="025F28B4"/>
    <w:rsid w:val="028831B4"/>
    <w:rsid w:val="02A14C7A"/>
    <w:rsid w:val="02D9077B"/>
    <w:rsid w:val="02DC2156"/>
    <w:rsid w:val="0304538C"/>
    <w:rsid w:val="030D279C"/>
    <w:rsid w:val="030D496D"/>
    <w:rsid w:val="03152D62"/>
    <w:rsid w:val="033347D4"/>
    <w:rsid w:val="033730C0"/>
    <w:rsid w:val="034D6BB0"/>
    <w:rsid w:val="036D5F2B"/>
    <w:rsid w:val="0382401C"/>
    <w:rsid w:val="039B78F9"/>
    <w:rsid w:val="03C2134C"/>
    <w:rsid w:val="03CF3A69"/>
    <w:rsid w:val="03E2379C"/>
    <w:rsid w:val="03E770D9"/>
    <w:rsid w:val="041D2A27"/>
    <w:rsid w:val="0430275A"/>
    <w:rsid w:val="044004C3"/>
    <w:rsid w:val="04AD347B"/>
    <w:rsid w:val="04CD7FA9"/>
    <w:rsid w:val="04CE5ACF"/>
    <w:rsid w:val="05080FE1"/>
    <w:rsid w:val="053E2C54"/>
    <w:rsid w:val="054078A4"/>
    <w:rsid w:val="056976B3"/>
    <w:rsid w:val="058B39C0"/>
    <w:rsid w:val="05F44D83"/>
    <w:rsid w:val="060D15BB"/>
    <w:rsid w:val="061776BA"/>
    <w:rsid w:val="06331B25"/>
    <w:rsid w:val="06976AC0"/>
    <w:rsid w:val="06A9027A"/>
    <w:rsid w:val="06AF26A1"/>
    <w:rsid w:val="06AF5438"/>
    <w:rsid w:val="06BA75A6"/>
    <w:rsid w:val="06C673A5"/>
    <w:rsid w:val="06CB00B6"/>
    <w:rsid w:val="06DC7EC8"/>
    <w:rsid w:val="06F242F9"/>
    <w:rsid w:val="07070CE0"/>
    <w:rsid w:val="071E4FBC"/>
    <w:rsid w:val="071F31CA"/>
    <w:rsid w:val="07411397"/>
    <w:rsid w:val="07475F91"/>
    <w:rsid w:val="0748600C"/>
    <w:rsid w:val="07574AD6"/>
    <w:rsid w:val="075A5F49"/>
    <w:rsid w:val="078C7B97"/>
    <w:rsid w:val="078F7A40"/>
    <w:rsid w:val="07985DA8"/>
    <w:rsid w:val="07C526FF"/>
    <w:rsid w:val="07FD0E7A"/>
    <w:rsid w:val="082A1775"/>
    <w:rsid w:val="082E701C"/>
    <w:rsid w:val="08374B13"/>
    <w:rsid w:val="085C2CAF"/>
    <w:rsid w:val="0864559C"/>
    <w:rsid w:val="089657FB"/>
    <w:rsid w:val="08A17ED3"/>
    <w:rsid w:val="08AC25CB"/>
    <w:rsid w:val="08AC299F"/>
    <w:rsid w:val="08B52D8F"/>
    <w:rsid w:val="08C2594B"/>
    <w:rsid w:val="08CC67C9"/>
    <w:rsid w:val="08D22341"/>
    <w:rsid w:val="08D613F6"/>
    <w:rsid w:val="08F00707"/>
    <w:rsid w:val="092A7788"/>
    <w:rsid w:val="09835508"/>
    <w:rsid w:val="09BE6112"/>
    <w:rsid w:val="09DA6CC4"/>
    <w:rsid w:val="0A091D27"/>
    <w:rsid w:val="0A3E60B6"/>
    <w:rsid w:val="0A464D41"/>
    <w:rsid w:val="0A6842D0"/>
    <w:rsid w:val="0A7F677B"/>
    <w:rsid w:val="0A956A2B"/>
    <w:rsid w:val="0AC57974"/>
    <w:rsid w:val="0AD4279A"/>
    <w:rsid w:val="0AD57BB7"/>
    <w:rsid w:val="0ADD3024"/>
    <w:rsid w:val="0ADF0A36"/>
    <w:rsid w:val="0B052730"/>
    <w:rsid w:val="0B097861"/>
    <w:rsid w:val="0B772213"/>
    <w:rsid w:val="0B7D0789"/>
    <w:rsid w:val="0BA25200"/>
    <w:rsid w:val="0BAF665A"/>
    <w:rsid w:val="0BBE3E2B"/>
    <w:rsid w:val="0BCF45B9"/>
    <w:rsid w:val="0BD04822"/>
    <w:rsid w:val="0BD25EA5"/>
    <w:rsid w:val="0BFC5617"/>
    <w:rsid w:val="0C161678"/>
    <w:rsid w:val="0C637445"/>
    <w:rsid w:val="0C644501"/>
    <w:rsid w:val="0CAD6942"/>
    <w:rsid w:val="0CC31C91"/>
    <w:rsid w:val="0CC773B9"/>
    <w:rsid w:val="0CFE2CC9"/>
    <w:rsid w:val="0D075066"/>
    <w:rsid w:val="0D1129FD"/>
    <w:rsid w:val="0D60468E"/>
    <w:rsid w:val="0D7F2A3F"/>
    <w:rsid w:val="0D8B7369"/>
    <w:rsid w:val="0DAD0DC8"/>
    <w:rsid w:val="0DC4143E"/>
    <w:rsid w:val="0DD5144C"/>
    <w:rsid w:val="0DFA7935"/>
    <w:rsid w:val="0E14444D"/>
    <w:rsid w:val="0E1529C0"/>
    <w:rsid w:val="0E1955EC"/>
    <w:rsid w:val="0E277F52"/>
    <w:rsid w:val="0E633EEA"/>
    <w:rsid w:val="0E8421E3"/>
    <w:rsid w:val="0E8A3087"/>
    <w:rsid w:val="0E8C74A9"/>
    <w:rsid w:val="0E981627"/>
    <w:rsid w:val="0ED531B7"/>
    <w:rsid w:val="0EEB6A16"/>
    <w:rsid w:val="0F264E85"/>
    <w:rsid w:val="0F335671"/>
    <w:rsid w:val="0F6121F0"/>
    <w:rsid w:val="0F8676D2"/>
    <w:rsid w:val="0F931DEF"/>
    <w:rsid w:val="0F9F6FB0"/>
    <w:rsid w:val="0FAB4813"/>
    <w:rsid w:val="0FC30F69"/>
    <w:rsid w:val="0FDC3796"/>
    <w:rsid w:val="0FED5D8B"/>
    <w:rsid w:val="100D7DBA"/>
    <w:rsid w:val="106070FE"/>
    <w:rsid w:val="10CF50A9"/>
    <w:rsid w:val="10D26947"/>
    <w:rsid w:val="10DB57FB"/>
    <w:rsid w:val="10E723F2"/>
    <w:rsid w:val="10EC78B1"/>
    <w:rsid w:val="112668AA"/>
    <w:rsid w:val="11334C56"/>
    <w:rsid w:val="11380EA0"/>
    <w:rsid w:val="11521E75"/>
    <w:rsid w:val="115B275C"/>
    <w:rsid w:val="119D6066"/>
    <w:rsid w:val="119F4A7B"/>
    <w:rsid w:val="11D50DBA"/>
    <w:rsid w:val="11F528ED"/>
    <w:rsid w:val="11F8418B"/>
    <w:rsid w:val="11FA6155"/>
    <w:rsid w:val="121F417A"/>
    <w:rsid w:val="12362D47"/>
    <w:rsid w:val="12382890"/>
    <w:rsid w:val="125C296C"/>
    <w:rsid w:val="12802AFE"/>
    <w:rsid w:val="12890C43"/>
    <w:rsid w:val="12A473E7"/>
    <w:rsid w:val="12B85BF8"/>
    <w:rsid w:val="12D042E3"/>
    <w:rsid w:val="12DD7861"/>
    <w:rsid w:val="12F16E9D"/>
    <w:rsid w:val="12FE0B06"/>
    <w:rsid w:val="13091EA2"/>
    <w:rsid w:val="130D3C66"/>
    <w:rsid w:val="1312610C"/>
    <w:rsid w:val="131C12E8"/>
    <w:rsid w:val="13264C76"/>
    <w:rsid w:val="13651CF4"/>
    <w:rsid w:val="13761F60"/>
    <w:rsid w:val="13C24A51"/>
    <w:rsid w:val="14154F63"/>
    <w:rsid w:val="14172FEE"/>
    <w:rsid w:val="1444190A"/>
    <w:rsid w:val="144E4D4D"/>
    <w:rsid w:val="14520A57"/>
    <w:rsid w:val="147026FF"/>
    <w:rsid w:val="147321EF"/>
    <w:rsid w:val="147E076F"/>
    <w:rsid w:val="148D506D"/>
    <w:rsid w:val="148E15C6"/>
    <w:rsid w:val="14965B7F"/>
    <w:rsid w:val="149A5FD1"/>
    <w:rsid w:val="14B46279"/>
    <w:rsid w:val="14D720C2"/>
    <w:rsid w:val="14DB1FD4"/>
    <w:rsid w:val="151E215B"/>
    <w:rsid w:val="152139F9"/>
    <w:rsid w:val="152507DB"/>
    <w:rsid w:val="15353DDC"/>
    <w:rsid w:val="15655FDB"/>
    <w:rsid w:val="157A3E5D"/>
    <w:rsid w:val="15B83724"/>
    <w:rsid w:val="15CA4090"/>
    <w:rsid w:val="15DA1DC9"/>
    <w:rsid w:val="15FB1672"/>
    <w:rsid w:val="16134AD6"/>
    <w:rsid w:val="162875AB"/>
    <w:rsid w:val="166B5873"/>
    <w:rsid w:val="16701E72"/>
    <w:rsid w:val="16811D7D"/>
    <w:rsid w:val="16885F6E"/>
    <w:rsid w:val="168B23A8"/>
    <w:rsid w:val="169F72CB"/>
    <w:rsid w:val="16BC79B8"/>
    <w:rsid w:val="16D056D6"/>
    <w:rsid w:val="16EF2001"/>
    <w:rsid w:val="16F72C63"/>
    <w:rsid w:val="16FC622D"/>
    <w:rsid w:val="17481711"/>
    <w:rsid w:val="175C27F3"/>
    <w:rsid w:val="177E3F10"/>
    <w:rsid w:val="179033B4"/>
    <w:rsid w:val="17B174DF"/>
    <w:rsid w:val="17C90AA4"/>
    <w:rsid w:val="17E3217F"/>
    <w:rsid w:val="17E56F60"/>
    <w:rsid w:val="17E6526C"/>
    <w:rsid w:val="17EA7C34"/>
    <w:rsid w:val="18747590"/>
    <w:rsid w:val="18AD3F21"/>
    <w:rsid w:val="18D92F68"/>
    <w:rsid w:val="18DD40DB"/>
    <w:rsid w:val="19080386"/>
    <w:rsid w:val="191E4E1F"/>
    <w:rsid w:val="19365E1F"/>
    <w:rsid w:val="196161D8"/>
    <w:rsid w:val="199155F1"/>
    <w:rsid w:val="19B7611D"/>
    <w:rsid w:val="19CA0B03"/>
    <w:rsid w:val="19D43730"/>
    <w:rsid w:val="19DE32A0"/>
    <w:rsid w:val="1A126CB0"/>
    <w:rsid w:val="1A516A12"/>
    <w:rsid w:val="1A636EF3"/>
    <w:rsid w:val="1AA44320"/>
    <w:rsid w:val="1AAC5919"/>
    <w:rsid w:val="1AC07391"/>
    <w:rsid w:val="1AED4AA9"/>
    <w:rsid w:val="1B2A18D8"/>
    <w:rsid w:val="1BA43F00"/>
    <w:rsid w:val="1BEA0AA7"/>
    <w:rsid w:val="1C33473D"/>
    <w:rsid w:val="1C612AA7"/>
    <w:rsid w:val="1C614B37"/>
    <w:rsid w:val="1C91313E"/>
    <w:rsid w:val="1CA80D6F"/>
    <w:rsid w:val="1CC47A8B"/>
    <w:rsid w:val="1CD431DC"/>
    <w:rsid w:val="1D1722B1"/>
    <w:rsid w:val="1D1F1C64"/>
    <w:rsid w:val="1D2D5631"/>
    <w:rsid w:val="1D86563F"/>
    <w:rsid w:val="1D9F11E7"/>
    <w:rsid w:val="1DA11B7B"/>
    <w:rsid w:val="1DA17DCD"/>
    <w:rsid w:val="1DAC4FDF"/>
    <w:rsid w:val="1DDC2BB3"/>
    <w:rsid w:val="1DF61EC7"/>
    <w:rsid w:val="1E034679"/>
    <w:rsid w:val="1E1F23E0"/>
    <w:rsid w:val="1E397C38"/>
    <w:rsid w:val="1E4A0464"/>
    <w:rsid w:val="1E71154D"/>
    <w:rsid w:val="1E7A7757"/>
    <w:rsid w:val="1E7E3C6A"/>
    <w:rsid w:val="1E824AC3"/>
    <w:rsid w:val="1EB50D95"/>
    <w:rsid w:val="1ED12A5A"/>
    <w:rsid w:val="1EF020D0"/>
    <w:rsid w:val="1EFA3C38"/>
    <w:rsid w:val="1F016D75"/>
    <w:rsid w:val="1F486268"/>
    <w:rsid w:val="1F4965D7"/>
    <w:rsid w:val="1F7E0EA7"/>
    <w:rsid w:val="1FAF67D1"/>
    <w:rsid w:val="1FCD79C9"/>
    <w:rsid w:val="200C59D1"/>
    <w:rsid w:val="201725C8"/>
    <w:rsid w:val="201F0FA3"/>
    <w:rsid w:val="2027280B"/>
    <w:rsid w:val="202D1DEC"/>
    <w:rsid w:val="204A00D1"/>
    <w:rsid w:val="206B4226"/>
    <w:rsid w:val="20AB59D0"/>
    <w:rsid w:val="20B84BEB"/>
    <w:rsid w:val="20D440BD"/>
    <w:rsid w:val="20E6054D"/>
    <w:rsid w:val="21251A2A"/>
    <w:rsid w:val="212678E0"/>
    <w:rsid w:val="21312B09"/>
    <w:rsid w:val="21451FC8"/>
    <w:rsid w:val="214F270B"/>
    <w:rsid w:val="216B6711"/>
    <w:rsid w:val="219519F6"/>
    <w:rsid w:val="21B418B8"/>
    <w:rsid w:val="21DE0DD2"/>
    <w:rsid w:val="21E12E8E"/>
    <w:rsid w:val="21E87D78"/>
    <w:rsid w:val="220858D5"/>
    <w:rsid w:val="222C235B"/>
    <w:rsid w:val="22315D84"/>
    <w:rsid w:val="223C018A"/>
    <w:rsid w:val="223C7808"/>
    <w:rsid w:val="22453681"/>
    <w:rsid w:val="224A3D0C"/>
    <w:rsid w:val="22521696"/>
    <w:rsid w:val="225A0744"/>
    <w:rsid w:val="227A5EB5"/>
    <w:rsid w:val="227E06DD"/>
    <w:rsid w:val="228201CD"/>
    <w:rsid w:val="22910410"/>
    <w:rsid w:val="22A53EBB"/>
    <w:rsid w:val="22AF0896"/>
    <w:rsid w:val="22C62195"/>
    <w:rsid w:val="22E618EB"/>
    <w:rsid w:val="23200B3B"/>
    <w:rsid w:val="232B0864"/>
    <w:rsid w:val="23360FB7"/>
    <w:rsid w:val="23366192"/>
    <w:rsid w:val="233A2855"/>
    <w:rsid w:val="23850159"/>
    <w:rsid w:val="2386702D"/>
    <w:rsid w:val="238B30B1"/>
    <w:rsid w:val="23A8437E"/>
    <w:rsid w:val="23C14417"/>
    <w:rsid w:val="23CF148B"/>
    <w:rsid w:val="23D90099"/>
    <w:rsid w:val="23DE3542"/>
    <w:rsid w:val="23FF13A9"/>
    <w:rsid w:val="243647AC"/>
    <w:rsid w:val="244F0582"/>
    <w:rsid w:val="245142FB"/>
    <w:rsid w:val="249661B1"/>
    <w:rsid w:val="24CC572F"/>
    <w:rsid w:val="24DE36B4"/>
    <w:rsid w:val="24FD00AA"/>
    <w:rsid w:val="24FD0C39"/>
    <w:rsid w:val="25075DF5"/>
    <w:rsid w:val="255816EC"/>
    <w:rsid w:val="255F158C"/>
    <w:rsid w:val="25652B73"/>
    <w:rsid w:val="257325CE"/>
    <w:rsid w:val="258204E4"/>
    <w:rsid w:val="2594673B"/>
    <w:rsid w:val="259A55AB"/>
    <w:rsid w:val="25A7428F"/>
    <w:rsid w:val="25C66B7C"/>
    <w:rsid w:val="25F44AD9"/>
    <w:rsid w:val="25F74A2E"/>
    <w:rsid w:val="260E2347"/>
    <w:rsid w:val="260F6E0D"/>
    <w:rsid w:val="261849A4"/>
    <w:rsid w:val="26215F4F"/>
    <w:rsid w:val="262D3EB5"/>
    <w:rsid w:val="263F62A3"/>
    <w:rsid w:val="26906525"/>
    <w:rsid w:val="26946721"/>
    <w:rsid w:val="26AF5308"/>
    <w:rsid w:val="26B97C1E"/>
    <w:rsid w:val="26C7515E"/>
    <w:rsid w:val="26C8461C"/>
    <w:rsid w:val="26D45E6C"/>
    <w:rsid w:val="270639BF"/>
    <w:rsid w:val="270D79BA"/>
    <w:rsid w:val="271E248E"/>
    <w:rsid w:val="273D0B66"/>
    <w:rsid w:val="277C2A42"/>
    <w:rsid w:val="27A6670B"/>
    <w:rsid w:val="27AC7A9A"/>
    <w:rsid w:val="27B27769"/>
    <w:rsid w:val="27BF3329"/>
    <w:rsid w:val="27C74D73"/>
    <w:rsid w:val="27EA72EF"/>
    <w:rsid w:val="27F51441"/>
    <w:rsid w:val="2820586F"/>
    <w:rsid w:val="28315C50"/>
    <w:rsid w:val="28467CF0"/>
    <w:rsid w:val="285717B4"/>
    <w:rsid w:val="28774084"/>
    <w:rsid w:val="2879412E"/>
    <w:rsid w:val="28880A27"/>
    <w:rsid w:val="28BA7F95"/>
    <w:rsid w:val="28C17575"/>
    <w:rsid w:val="28DD6A42"/>
    <w:rsid w:val="28F11C08"/>
    <w:rsid w:val="29067F3A"/>
    <w:rsid w:val="29114058"/>
    <w:rsid w:val="294E0E09"/>
    <w:rsid w:val="2953319C"/>
    <w:rsid w:val="29622B06"/>
    <w:rsid w:val="29780755"/>
    <w:rsid w:val="298E2F0D"/>
    <w:rsid w:val="2A1F09F7"/>
    <w:rsid w:val="2A232D78"/>
    <w:rsid w:val="2A5A1A2F"/>
    <w:rsid w:val="2A6428AE"/>
    <w:rsid w:val="2A69249C"/>
    <w:rsid w:val="2A7C7140"/>
    <w:rsid w:val="2A8820F8"/>
    <w:rsid w:val="2A9F7442"/>
    <w:rsid w:val="2AA63065"/>
    <w:rsid w:val="2AB033FD"/>
    <w:rsid w:val="2ACF48D8"/>
    <w:rsid w:val="2AE961D0"/>
    <w:rsid w:val="2B2715AE"/>
    <w:rsid w:val="2B473D61"/>
    <w:rsid w:val="2B8723B0"/>
    <w:rsid w:val="2B920D55"/>
    <w:rsid w:val="2BC17995"/>
    <w:rsid w:val="2BF06002"/>
    <w:rsid w:val="2C3167C0"/>
    <w:rsid w:val="2C35200D"/>
    <w:rsid w:val="2C7F1E4A"/>
    <w:rsid w:val="2C8608B9"/>
    <w:rsid w:val="2CAD22EA"/>
    <w:rsid w:val="2CDC02B2"/>
    <w:rsid w:val="2CF9108B"/>
    <w:rsid w:val="2D04106C"/>
    <w:rsid w:val="2D5B3AF4"/>
    <w:rsid w:val="2D5C7686"/>
    <w:rsid w:val="2D901539"/>
    <w:rsid w:val="2D92328E"/>
    <w:rsid w:val="2DB83768"/>
    <w:rsid w:val="2DCF110D"/>
    <w:rsid w:val="2DD702D0"/>
    <w:rsid w:val="2E1157DA"/>
    <w:rsid w:val="2E2B22E5"/>
    <w:rsid w:val="2E424CB4"/>
    <w:rsid w:val="2E6A7A76"/>
    <w:rsid w:val="2E7330BF"/>
    <w:rsid w:val="2E8157DC"/>
    <w:rsid w:val="2E960B5C"/>
    <w:rsid w:val="2EA71023"/>
    <w:rsid w:val="2EC65853"/>
    <w:rsid w:val="2EC708BB"/>
    <w:rsid w:val="2ECC3237"/>
    <w:rsid w:val="2ED33B5E"/>
    <w:rsid w:val="2F081996"/>
    <w:rsid w:val="2F186ADA"/>
    <w:rsid w:val="2F4A69AF"/>
    <w:rsid w:val="2F4B5DEA"/>
    <w:rsid w:val="2F76696A"/>
    <w:rsid w:val="2F945106"/>
    <w:rsid w:val="2FA30858"/>
    <w:rsid w:val="2FA85D47"/>
    <w:rsid w:val="2FC242FE"/>
    <w:rsid w:val="30075E17"/>
    <w:rsid w:val="300C19FA"/>
    <w:rsid w:val="30234671"/>
    <w:rsid w:val="303625F7"/>
    <w:rsid w:val="30534B6F"/>
    <w:rsid w:val="30693614"/>
    <w:rsid w:val="30912A34"/>
    <w:rsid w:val="309D61D2"/>
    <w:rsid w:val="30DF11B1"/>
    <w:rsid w:val="30E34425"/>
    <w:rsid w:val="311C7EE5"/>
    <w:rsid w:val="313C7238"/>
    <w:rsid w:val="315D017D"/>
    <w:rsid w:val="317E560B"/>
    <w:rsid w:val="31A517E2"/>
    <w:rsid w:val="31CB29B4"/>
    <w:rsid w:val="320329AC"/>
    <w:rsid w:val="320A18D8"/>
    <w:rsid w:val="32230959"/>
    <w:rsid w:val="322C1F67"/>
    <w:rsid w:val="32386626"/>
    <w:rsid w:val="32460685"/>
    <w:rsid w:val="3257018C"/>
    <w:rsid w:val="3281224F"/>
    <w:rsid w:val="32C10D13"/>
    <w:rsid w:val="32D47446"/>
    <w:rsid w:val="32E91BA2"/>
    <w:rsid w:val="330B58CF"/>
    <w:rsid w:val="33150BE9"/>
    <w:rsid w:val="333F17C2"/>
    <w:rsid w:val="33721B98"/>
    <w:rsid w:val="337E053C"/>
    <w:rsid w:val="33CA5530"/>
    <w:rsid w:val="33CC5628"/>
    <w:rsid w:val="33ED0913"/>
    <w:rsid w:val="33F7255C"/>
    <w:rsid w:val="34234599"/>
    <w:rsid w:val="345A626B"/>
    <w:rsid w:val="346E0856"/>
    <w:rsid w:val="347E6770"/>
    <w:rsid w:val="34833304"/>
    <w:rsid w:val="34B54432"/>
    <w:rsid w:val="34DA5C46"/>
    <w:rsid w:val="3519341D"/>
    <w:rsid w:val="351E01B7"/>
    <w:rsid w:val="3535527C"/>
    <w:rsid w:val="35400B5B"/>
    <w:rsid w:val="35551771"/>
    <w:rsid w:val="35733683"/>
    <w:rsid w:val="3578720D"/>
    <w:rsid w:val="358B37E8"/>
    <w:rsid w:val="35D46B3A"/>
    <w:rsid w:val="35E328D9"/>
    <w:rsid w:val="35F40894"/>
    <w:rsid w:val="3606016C"/>
    <w:rsid w:val="362B656C"/>
    <w:rsid w:val="362D049E"/>
    <w:rsid w:val="36794FEB"/>
    <w:rsid w:val="369342FF"/>
    <w:rsid w:val="369B1405"/>
    <w:rsid w:val="36AB61C7"/>
    <w:rsid w:val="36C40C77"/>
    <w:rsid w:val="36DF7E74"/>
    <w:rsid w:val="373127D5"/>
    <w:rsid w:val="373B4AD7"/>
    <w:rsid w:val="37B84F8D"/>
    <w:rsid w:val="37DA71D5"/>
    <w:rsid w:val="381274A5"/>
    <w:rsid w:val="38527079"/>
    <w:rsid w:val="385C6972"/>
    <w:rsid w:val="38877E93"/>
    <w:rsid w:val="38B31C91"/>
    <w:rsid w:val="38FB43DD"/>
    <w:rsid w:val="38FD5F80"/>
    <w:rsid w:val="390260A1"/>
    <w:rsid w:val="390C31D8"/>
    <w:rsid w:val="391212EE"/>
    <w:rsid w:val="39180AEB"/>
    <w:rsid w:val="39385387"/>
    <w:rsid w:val="3942025E"/>
    <w:rsid w:val="39510913"/>
    <w:rsid w:val="395A3EC1"/>
    <w:rsid w:val="39627FB8"/>
    <w:rsid w:val="398B565F"/>
    <w:rsid w:val="399947CE"/>
    <w:rsid w:val="39A650B9"/>
    <w:rsid w:val="39AD1B7B"/>
    <w:rsid w:val="39D76BF8"/>
    <w:rsid w:val="3A2223F3"/>
    <w:rsid w:val="3A3341F2"/>
    <w:rsid w:val="3A4F49E1"/>
    <w:rsid w:val="3A973EF6"/>
    <w:rsid w:val="3ACC6031"/>
    <w:rsid w:val="3B3811A4"/>
    <w:rsid w:val="3B4A51A8"/>
    <w:rsid w:val="3B673FAC"/>
    <w:rsid w:val="3B8628EC"/>
    <w:rsid w:val="3B8B5433"/>
    <w:rsid w:val="3B914B85"/>
    <w:rsid w:val="3BD4429C"/>
    <w:rsid w:val="3BD95F22"/>
    <w:rsid w:val="3C1001A0"/>
    <w:rsid w:val="3C143629"/>
    <w:rsid w:val="3C3D583E"/>
    <w:rsid w:val="3C432323"/>
    <w:rsid w:val="3C574020"/>
    <w:rsid w:val="3C5D1FDE"/>
    <w:rsid w:val="3C637DA1"/>
    <w:rsid w:val="3C902F72"/>
    <w:rsid w:val="3CA377FA"/>
    <w:rsid w:val="3CD43161"/>
    <w:rsid w:val="3D0F6226"/>
    <w:rsid w:val="3D1C28CC"/>
    <w:rsid w:val="3D3048DF"/>
    <w:rsid w:val="3D3F369F"/>
    <w:rsid w:val="3D451089"/>
    <w:rsid w:val="3D7F0A7C"/>
    <w:rsid w:val="3D8E75CE"/>
    <w:rsid w:val="3DEE2762"/>
    <w:rsid w:val="3E375EB7"/>
    <w:rsid w:val="3E49060E"/>
    <w:rsid w:val="3E8F644F"/>
    <w:rsid w:val="3E954CCA"/>
    <w:rsid w:val="3ED95836"/>
    <w:rsid w:val="3EFE69D5"/>
    <w:rsid w:val="3F177A97"/>
    <w:rsid w:val="3F277CDA"/>
    <w:rsid w:val="3F373C95"/>
    <w:rsid w:val="3F4520E6"/>
    <w:rsid w:val="3F7D6BE9"/>
    <w:rsid w:val="3F836EDA"/>
    <w:rsid w:val="3F873C4F"/>
    <w:rsid w:val="3F96713F"/>
    <w:rsid w:val="3FC306F2"/>
    <w:rsid w:val="3FCA4B09"/>
    <w:rsid w:val="3FFA0F65"/>
    <w:rsid w:val="3FFE1AE5"/>
    <w:rsid w:val="3FFE7896"/>
    <w:rsid w:val="3FFF0C72"/>
    <w:rsid w:val="3FFF71ED"/>
    <w:rsid w:val="400022D9"/>
    <w:rsid w:val="400242A3"/>
    <w:rsid w:val="40413AC2"/>
    <w:rsid w:val="404E7F19"/>
    <w:rsid w:val="40586C90"/>
    <w:rsid w:val="407575BB"/>
    <w:rsid w:val="407F5D91"/>
    <w:rsid w:val="40B12615"/>
    <w:rsid w:val="40C36154"/>
    <w:rsid w:val="40F260C6"/>
    <w:rsid w:val="4105404B"/>
    <w:rsid w:val="410F0A26"/>
    <w:rsid w:val="410F4C9F"/>
    <w:rsid w:val="410F7411"/>
    <w:rsid w:val="41171FD0"/>
    <w:rsid w:val="41354204"/>
    <w:rsid w:val="4157079E"/>
    <w:rsid w:val="419F4A08"/>
    <w:rsid w:val="41BA3755"/>
    <w:rsid w:val="42487538"/>
    <w:rsid w:val="424F3242"/>
    <w:rsid w:val="4256217B"/>
    <w:rsid w:val="425B143C"/>
    <w:rsid w:val="429A4821"/>
    <w:rsid w:val="42EB54C2"/>
    <w:rsid w:val="43122A4F"/>
    <w:rsid w:val="43193DDE"/>
    <w:rsid w:val="43383046"/>
    <w:rsid w:val="435E5C94"/>
    <w:rsid w:val="43601A0D"/>
    <w:rsid w:val="4365390F"/>
    <w:rsid w:val="437270F3"/>
    <w:rsid w:val="4392221B"/>
    <w:rsid w:val="439B2A66"/>
    <w:rsid w:val="43A36B37"/>
    <w:rsid w:val="43B55532"/>
    <w:rsid w:val="43E268C5"/>
    <w:rsid w:val="43E857ED"/>
    <w:rsid w:val="43F939DF"/>
    <w:rsid w:val="44103433"/>
    <w:rsid w:val="44254A04"/>
    <w:rsid w:val="443D58AA"/>
    <w:rsid w:val="44663053"/>
    <w:rsid w:val="446948F1"/>
    <w:rsid w:val="447F4A06"/>
    <w:rsid w:val="448D4A83"/>
    <w:rsid w:val="449508A9"/>
    <w:rsid w:val="44A960AA"/>
    <w:rsid w:val="44BC09F9"/>
    <w:rsid w:val="44F651FA"/>
    <w:rsid w:val="451D44EA"/>
    <w:rsid w:val="453F429A"/>
    <w:rsid w:val="4565678D"/>
    <w:rsid w:val="45A907F0"/>
    <w:rsid w:val="45B12E32"/>
    <w:rsid w:val="45EC03C2"/>
    <w:rsid w:val="46207231"/>
    <w:rsid w:val="462605A3"/>
    <w:rsid w:val="46670824"/>
    <w:rsid w:val="467852BF"/>
    <w:rsid w:val="46A61E2C"/>
    <w:rsid w:val="46A83551"/>
    <w:rsid w:val="46A92D50"/>
    <w:rsid w:val="46AC170D"/>
    <w:rsid w:val="46C6602A"/>
    <w:rsid w:val="46D36E96"/>
    <w:rsid w:val="46DB13AA"/>
    <w:rsid w:val="4724428C"/>
    <w:rsid w:val="473860EE"/>
    <w:rsid w:val="475E0CED"/>
    <w:rsid w:val="479F1F6A"/>
    <w:rsid w:val="47B41D83"/>
    <w:rsid w:val="47D07C91"/>
    <w:rsid w:val="480474AE"/>
    <w:rsid w:val="481D611E"/>
    <w:rsid w:val="482B0439"/>
    <w:rsid w:val="483D50BF"/>
    <w:rsid w:val="484443D1"/>
    <w:rsid w:val="48471D05"/>
    <w:rsid w:val="48697596"/>
    <w:rsid w:val="48803886"/>
    <w:rsid w:val="4907292A"/>
    <w:rsid w:val="491312CF"/>
    <w:rsid w:val="493C3C34"/>
    <w:rsid w:val="493F0316"/>
    <w:rsid w:val="494F6304"/>
    <w:rsid w:val="49667651"/>
    <w:rsid w:val="498F22B4"/>
    <w:rsid w:val="49D36210"/>
    <w:rsid w:val="49E9546E"/>
    <w:rsid w:val="4A05330E"/>
    <w:rsid w:val="4A0A7D4A"/>
    <w:rsid w:val="4A0A7FEC"/>
    <w:rsid w:val="4A537CF5"/>
    <w:rsid w:val="4A6F2535"/>
    <w:rsid w:val="4A750D7B"/>
    <w:rsid w:val="4A7D4599"/>
    <w:rsid w:val="4A8629A8"/>
    <w:rsid w:val="4A8F4985"/>
    <w:rsid w:val="4AAE7501"/>
    <w:rsid w:val="4AE77801"/>
    <w:rsid w:val="4B076C12"/>
    <w:rsid w:val="4B175AB5"/>
    <w:rsid w:val="4B544FBE"/>
    <w:rsid w:val="4B72052F"/>
    <w:rsid w:val="4BAF3531"/>
    <w:rsid w:val="4BBF1667"/>
    <w:rsid w:val="4C06606A"/>
    <w:rsid w:val="4C3502CB"/>
    <w:rsid w:val="4C7528EA"/>
    <w:rsid w:val="4C87625C"/>
    <w:rsid w:val="4C971E66"/>
    <w:rsid w:val="4CD45367"/>
    <w:rsid w:val="4CF11927"/>
    <w:rsid w:val="4CF11A96"/>
    <w:rsid w:val="4CFE3FC5"/>
    <w:rsid w:val="4D020FCE"/>
    <w:rsid w:val="4D021D86"/>
    <w:rsid w:val="4D13189E"/>
    <w:rsid w:val="4D1473C4"/>
    <w:rsid w:val="4D186EB4"/>
    <w:rsid w:val="4D690B0B"/>
    <w:rsid w:val="4D7F0CE1"/>
    <w:rsid w:val="4D933154"/>
    <w:rsid w:val="4D9760D1"/>
    <w:rsid w:val="4DBA3B49"/>
    <w:rsid w:val="4DC1754C"/>
    <w:rsid w:val="4DF07E6B"/>
    <w:rsid w:val="4E265601"/>
    <w:rsid w:val="4E410942"/>
    <w:rsid w:val="4E466DC5"/>
    <w:rsid w:val="4E5D33F6"/>
    <w:rsid w:val="4E82565B"/>
    <w:rsid w:val="4EBC6326"/>
    <w:rsid w:val="4ECC43FA"/>
    <w:rsid w:val="4ED85704"/>
    <w:rsid w:val="4F0F2539"/>
    <w:rsid w:val="4F133DD7"/>
    <w:rsid w:val="4F1D07B2"/>
    <w:rsid w:val="4F2558B8"/>
    <w:rsid w:val="4F3932CD"/>
    <w:rsid w:val="4F4E4E0F"/>
    <w:rsid w:val="4F506DD9"/>
    <w:rsid w:val="4FCD2E7F"/>
    <w:rsid w:val="4FF9121F"/>
    <w:rsid w:val="50277BC9"/>
    <w:rsid w:val="506E3F2C"/>
    <w:rsid w:val="50770396"/>
    <w:rsid w:val="507B04A0"/>
    <w:rsid w:val="507C1E50"/>
    <w:rsid w:val="508347F7"/>
    <w:rsid w:val="50C97C23"/>
    <w:rsid w:val="50EE2942"/>
    <w:rsid w:val="510F158B"/>
    <w:rsid w:val="511065DA"/>
    <w:rsid w:val="515A3F3F"/>
    <w:rsid w:val="515D70B5"/>
    <w:rsid w:val="51823496"/>
    <w:rsid w:val="51A61C2D"/>
    <w:rsid w:val="51D55A94"/>
    <w:rsid w:val="51F223CA"/>
    <w:rsid w:val="51FB0D52"/>
    <w:rsid w:val="524B3619"/>
    <w:rsid w:val="524D5F43"/>
    <w:rsid w:val="52A36C5D"/>
    <w:rsid w:val="52F12681"/>
    <w:rsid w:val="5335321D"/>
    <w:rsid w:val="53590226"/>
    <w:rsid w:val="53901E9A"/>
    <w:rsid w:val="53B07F7E"/>
    <w:rsid w:val="53DC1A98"/>
    <w:rsid w:val="54234C87"/>
    <w:rsid w:val="542E3461"/>
    <w:rsid w:val="542F4B4C"/>
    <w:rsid w:val="542F70DE"/>
    <w:rsid w:val="544A7073"/>
    <w:rsid w:val="545F186C"/>
    <w:rsid w:val="54625D3D"/>
    <w:rsid w:val="54676689"/>
    <w:rsid w:val="54792F15"/>
    <w:rsid w:val="547B27A8"/>
    <w:rsid w:val="54931516"/>
    <w:rsid w:val="5497283A"/>
    <w:rsid w:val="54A72E72"/>
    <w:rsid w:val="54D73AF9"/>
    <w:rsid w:val="553E1482"/>
    <w:rsid w:val="555C7B5A"/>
    <w:rsid w:val="557E3F74"/>
    <w:rsid w:val="55860AE5"/>
    <w:rsid w:val="55A71AF4"/>
    <w:rsid w:val="55B47996"/>
    <w:rsid w:val="56242D6E"/>
    <w:rsid w:val="563E2B2E"/>
    <w:rsid w:val="56435F3C"/>
    <w:rsid w:val="56562864"/>
    <w:rsid w:val="56643D64"/>
    <w:rsid w:val="56952D74"/>
    <w:rsid w:val="56CF0F2B"/>
    <w:rsid w:val="56DD2DD9"/>
    <w:rsid w:val="56F664DF"/>
    <w:rsid w:val="56F6683A"/>
    <w:rsid w:val="57523F87"/>
    <w:rsid w:val="57772FB7"/>
    <w:rsid w:val="57827154"/>
    <w:rsid w:val="578735B4"/>
    <w:rsid w:val="57C9597B"/>
    <w:rsid w:val="57FE40FF"/>
    <w:rsid w:val="582B222F"/>
    <w:rsid w:val="582E1C82"/>
    <w:rsid w:val="58372679"/>
    <w:rsid w:val="584C51E1"/>
    <w:rsid w:val="587C29ED"/>
    <w:rsid w:val="58AB6A29"/>
    <w:rsid w:val="58BA0251"/>
    <w:rsid w:val="58BD6B62"/>
    <w:rsid w:val="58C2269E"/>
    <w:rsid w:val="58C63C68"/>
    <w:rsid w:val="58E373DE"/>
    <w:rsid w:val="590C3FC5"/>
    <w:rsid w:val="592941F7"/>
    <w:rsid w:val="592A2449"/>
    <w:rsid w:val="593D4A24"/>
    <w:rsid w:val="59810AE7"/>
    <w:rsid w:val="59CF29FF"/>
    <w:rsid w:val="59CF340C"/>
    <w:rsid w:val="59DB473C"/>
    <w:rsid w:val="5A494B51"/>
    <w:rsid w:val="5A6F5865"/>
    <w:rsid w:val="5A7140A7"/>
    <w:rsid w:val="5A7D2A4C"/>
    <w:rsid w:val="5A817142"/>
    <w:rsid w:val="5A9A07E3"/>
    <w:rsid w:val="5A9A3D23"/>
    <w:rsid w:val="5ACC12DE"/>
    <w:rsid w:val="5ACC67DA"/>
    <w:rsid w:val="5AD52C75"/>
    <w:rsid w:val="5B5544AA"/>
    <w:rsid w:val="5B57504B"/>
    <w:rsid w:val="5B653C0C"/>
    <w:rsid w:val="5B6851E4"/>
    <w:rsid w:val="5B791CD9"/>
    <w:rsid w:val="5B834092"/>
    <w:rsid w:val="5B843FE3"/>
    <w:rsid w:val="5B8C27D6"/>
    <w:rsid w:val="5B9A2019"/>
    <w:rsid w:val="5BAB00F6"/>
    <w:rsid w:val="5BAF16E0"/>
    <w:rsid w:val="5BC00E43"/>
    <w:rsid w:val="5BD743DE"/>
    <w:rsid w:val="5BFC2307"/>
    <w:rsid w:val="5BFF2640"/>
    <w:rsid w:val="5C000ECD"/>
    <w:rsid w:val="5C0F3B78"/>
    <w:rsid w:val="5C2F5FC8"/>
    <w:rsid w:val="5C6234A4"/>
    <w:rsid w:val="5C97190B"/>
    <w:rsid w:val="5CB14C2F"/>
    <w:rsid w:val="5D235B2D"/>
    <w:rsid w:val="5D2C42B6"/>
    <w:rsid w:val="5D417DCA"/>
    <w:rsid w:val="5D421CD6"/>
    <w:rsid w:val="5D533B8E"/>
    <w:rsid w:val="5D665A1A"/>
    <w:rsid w:val="5DD9443E"/>
    <w:rsid w:val="5E1F045D"/>
    <w:rsid w:val="5E3876D3"/>
    <w:rsid w:val="5E6B73D3"/>
    <w:rsid w:val="5E9D3904"/>
    <w:rsid w:val="5EED5DD9"/>
    <w:rsid w:val="5EF84D97"/>
    <w:rsid w:val="5F1D47FE"/>
    <w:rsid w:val="5F3833E6"/>
    <w:rsid w:val="5F513178"/>
    <w:rsid w:val="5F7E5DFE"/>
    <w:rsid w:val="5FBA3FD4"/>
    <w:rsid w:val="60392BAA"/>
    <w:rsid w:val="604160E9"/>
    <w:rsid w:val="60430F0D"/>
    <w:rsid w:val="60566219"/>
    <w:rsid w:val="60640ED3"/>
    <w:rsid w:val="60850FDD"/>
    <w:rsid w:val="609F7AD2"/>
    <w:rsid w:val="60AE7E03"/>
    <w:rsid w:val="60D076E8"/>
    <w:rsid w:val="60DA0BF8"/>
    <w:rsid w:val="6130017F"/>
    <w:rsid w:val="613371B0"/>
    <w:rsid w:val="61590315"/>
    <w:rsid w:val="615E35D8"/>
    <w:rsid w:val="61623558"/>
    <w:rsid w:val="617F52FC"/>
    <w:rsid w:val="618B6CE5"/>
    <w:rsid w:val="61A24411"/>
    <w:rsid w:val="61FC694D"/>
    <w:rsid w:val="621625BE"/>
    <w:rsid w:val="62443430"/>
    <w:rsid w:val="62481A07"/>
    <w:rsid w:val="62502D89"/>
    <w:rsid w:val="625247BE"/>
    <w:rsid w:val="625D4B92"/>
    <w:rsid w:val="62CE02E9"/>
    <w:rsid w:val="63041F5D"/>
    <w:rsid w:val="63131E90"/>
    <w:rsid w:val="63340C4B"/>
    <w:rsid w:val="63377693"/>
    <w:rsid w:val="633D3C4C"/>
    <w:rsid w:val="63634EB3"/>
    <w:rsid w:val="63772175"/>
    <w:rsid w:val="638C5AAE"/>
    <w:rsid w:val="63DD5254"/>
    <w:rsid w:val="63F546BB"/>
    <w:rsid w:val="63FB0450"/>
    <w:rsid w:val="64041AE8"/>
    <w:rsid w:val="64047D3A"/>
    <w:rsid w:val="641A3689"/>
    <w:rsid w:val="64231224"/>
    <w:rsid w:val="643C6CB2"/>
    <w:rsid w:val="647F614C"/>
    <w:rsid w:val="64887113"/>
    <w:rsid w:val="648A0240"/>
    <w:rsid w:val="64A12772"/>
    <w:rsid w:val="64A8091D"/>
    <w:rsid w:val="64AC69BD"/>
    <w:rsid w:val="64C30CB7"/>
    <w:rsid w:val="64C71494"/>
    <w:rsid w:val="6517600B"/>
    <w:rsid w:val="652705B3"/>
    <w:rsid w:val="65385EEE"/>
    <w:rsid w:val="65516FAF"/>
    <w:rsid w:val="65583D8A"/>
    <w:rsid w:val="65784B92"/>
    <w:rsid w:val="65870C23"/>
    <w:rsid w:val="659F21F0"/>
    <w:rsid w:val="65A73073"/>
    <w:rsid w:val="65B37C6A"/>
    <w:rsid w:val="65BA007C"/>
    <w:rsid w:val="65D35C16"/>
    <w:rsid w:val="65DA0D53"/>
    <w:rsid w:val="65E63B9C"/>
    <w:rsid w:val="65F9450C"/>
    <w:rsid w:val="66100C18"/>
    <w:rsid w:val="661C1BB8"/>
    <w:rsid w:val="662306DF"/>
    <w:rsid w:val="66287D10"/>
    <w:rsid w:val="6655487D"/>
    <w:rsid w:val="66665B29"/>
    <w:rsid w:val="666F1A64"/>
    <w:rsid w:val="66884C53"/>
    <w:rsid w:val="668C4743"/>
    <w:rsid w:val="668D2269"/>
    <w:rsid w:val="66A213AC"/>
    <w:rsid w:val="66D70063"/>
    <w:rsid w:val="66E5454B"/>
    <w:rsid w:val="672A3C4C"/>
    <w:rsid w:val="673646AF"/>
    <w:rsid w:val="673F6082"/>
    <w:rsid w:val="676066F3"/>
    <w:rsid w:val="67803B7C"/>
    <w:rsid w:val="67F85E08"/>
    <w:rsid w:val="67FD2025"/>
    <w:rsid w:val="68210EBB"/>
    <w:rsid w:val="68293E72"/>
    <w:rsid w:val="682C390D"/>
    <w:rsid w:val="68B0300F"/>
    <w:rsid w:val="68B166E3"/>
    <w:rsid w:val="68C3661D"/>
    <w:rsid w:val="68E02B24"/>
    <w:rsid w:val="68E74630"/>
    <w:rsid w:val="693B5FAC"/>
    <w:rsid w:val="69467360"/>
    <w:rsid w:val="694F3B42"/>
    <w:rsid w:val="69B14140"/>
    <w:rsid w:val="69DC2875"/>
    <w:rsid w:val="69F148BD"/>
    <w:rsid w:val="6A086A80"/>
    <w:rsid w:val="6A2321D1"/>
    <w:rsid w:val="6A4430C2"/>
    <w:rsid w:val="6A5437CA"/>
    <w:rsid w:val="6A7A2B04"/>
    <w:rsid w:val="6AAB53B4"/>
    <w:rsid w:val="6AB31011"/>
    <w:rsid w:val="6ABE5FB1"/>
    <w:rsid w:val="6ABE6E95"/>
    <w:rsid w:val="6AC948D8"/>
    <w:rsid w:val="6ACF7ACD"/>
    <w:rsid w:val="6AD4469B"/>
    <w:rsid w:val="6AE306AA"/>
    <w:rsid w:val="6B07083C"/>
    <w:rsid w:val="6B7439F8"/>
    <w:rsid w:val="6B903AF8"/>
    <w:rsid w:val="6B952A89"/>
    <w:rsid w:val="6B965FDA"/>
    <w:rsid w:val="6B977A77"/>
    <w:rsid w:val="6B9F6960"/>
    <w:rsid w:val="6BE97F42"/>
    <w:rsid w:val="6C0C39DA"/>
    <w:rsid w:val="6C1B1C34"/>
    <w:rsid w:val="6C2566DB"/>
    <w:rsid w:val="6C426BE3"/>
    <w:rsid w:val="6C447394"/>
    <w:rsid w:val="6C4E42DC"/>
    <w:rsid w:val="6C7A7C07"/>
    <w:rsid w:val="6C8669DD"/>
    <w:rsid w:val="6C9C2F79"/>
    <w:rsid w:val="6CA174EC"/>
    <w:rsid w:val="6CA5252A"/>
    <w:rsid w:val="6CE60925"/>
    <w:rsid w:val="6CEB5639"/>
    <w:rsid w:val="6D4B2536"/>
    <w:rsid w:val="6D4B51A3"/>
    <w:rsid w:val="6D5E7031"/>
    <w:rsid w:val="6D8F68C7"/>
    <w:rsid w:val="6DB57B2F"/>
    <w:rsid w:val="6DBB14D2"/>
    <w:rsid w:val="6DD15131"/>
    <w:rsid w:val="6DDA35AB"/>
    <w:rsid w:val="6E102D14"/>
    <w:rsid w:val="6E792E5E"/>
    <w:rsid w:val="6E8B2257"/>
    <w:rsid w:val="6E93207D"/>
    <w:rsid w:val="6F1F7D4C"/>
    <w:rsid w:val="6F3472D3"/>
    <w:rsid w:val="6F5E29F5"/>
    <w:rsid w:val="6F655367"/>
    <w:rsid w:val="6F655B31"/>
    <w:rsid w:val="6F6873CF"/>
    <w:rsid w:val="6F753C0B"/>
    <w:rsid w:val="6F7E4E45"/>
    <w:rsid w:val="6F7F34EA"/>
    <w:rsid w:val="6F9742E9"/>
    <w:rsid w:val="6FA06B7E"/>
    <w:rsid w:val="6FA32AFD"/>
    <w:rsid w:val="6FA36659"/>
    <w:rsid w:val="6FE92C03"/>
    <w:rsid w:val="6FFE7D34"/>
    <w:rsid w:val="70134A46"/>
    <w:rsid w:val="701D7CB8"/>
    <w:rsid w:val="7043106F"/>
    <w:rsid w:val="709F1B1A"/>
    <w:rsid w:val="70B0102E"/>
    <w:rsid w:val="70C506EB"/>
    <w:rsid w:val="70CD7E32"/>
    <w:rsid w:val="70D44C84"/>
    <w:rsid w:val="70D81A25"/>
    <w:rsid w:val="70E404E0"/>
    <w:rsid w:val="70F73101"/>
    <w:rsid w:val="70F829D5"/>
    <w:rsid w:val="710870BC"/>
    <w:rsid w:val="712D7639"/>
    <w:rsid w:val="71365BCD"/>
    <w:rsid w:val="716B764B"/>
    <w:rsid w:val="71A768D5"/>
    <w:rsid w:val="71C034F3"/>
    <w:rsid w:val="71EB3698"/>
    <w:rsid w:val="71F004C3"/>
    <w:rsid w:val="71F37A67"/>
    <w:rsid w:val="72171F5D"/>
    <w:rsid w:val="722241AD"/>
    <w:rsid w:val="7229553C"/>
    <w:rsid w:val="722B5F35"/>
    <w:rsid w:val="726B7D34"/>
    <w:rsid w:val="726C5429"/>
    <w:rsid w:val="72987FCC"/>
    <w:rsid w:val="72DD71E6"/>
    <w:rsid w:val="72E90827"/>
    <w:rsid w:val="72EF28E5"/>
    <w:rsid w:val="730075F6"/>
    <w:rsid w:val="7311788C"/>
    <w:rsid w:val="73244F54"/>
    <w:rsid w:val="732C2CFF"/>
    <w:rsid w:val="733221CE"/>
    <w:rsid w:val="733735A8"/>
    <w:rsid w:val="73424936"/>
    <w:rsid w:val="73514BE3"/>
    <w:rsid w:val="7352177A"/>
    <w:rsid w:val="735D4D27"/>
    <w:rsid w:val="737F2F3A"/>
    <w:rsid w:val="73B406BF"/>
    <w:rsid w:val="73D472F7"/>
    <w:rsid w:val="73E84F83"/>
    <w:rsid w:val="73EF00BF"/>
    <w:rsid w:val="73F6144E"/>
    <w:rsid w:val="73FC0A2E"/>
    <w:rsid w:val="73FE47A6"/>
    <w:rsid w:val="74161BB3"/>
    <w:rsid w:val="741713C4"/>
    <w:rsid w:val="749373E3"/>
    <w:rsid w:val="74D3178F"/>
    <w:rsid w:val="74D833FB"/>
    <w:rsid w:val="74F636CF"/>
    <w:rsid w:val="7507768A"/>
    <w:rsid w:val="7525093F"/>
    <w:rsid w:val="752A468C"/>
    <w:rsid w:val="752A5F89"/>
    <w:rsid w:val="7547340F"/>
    <w:rsid w:val="755C79D6"/>
    <w:rsid w:val="75A73CD3"/>
    <w:rsid w:val="75AD3D8E"/>
    <w:rsid w:val="75B570E6"/>
    <w:rsid w:val="75C17839"/>
    <w:rsid w:val="75D43A11"/>
    <w:rsid w:val="75EA4FE2"/>
    <w:rsid w:val="76004DC9"/>
    <w:rsid w:val="764C5E0A"/>
    <w:rsid w:val="76846921"/>
    <w:rsid w:val="76904F43"/>
    <w:rsid w:val="76935599"/>
    <w:rsid w:val="76B0550B"/>
    <w:rsid w:val="76C53359"/>
    <w:rsid w:val="76D4359C"/>
    <w:rsid w:val="76E62C90"/>
    <w:rsid w:val="76E77774"/>
    <w:rsid w:val="770519A8"/>
    <w:rsid w:val="777031CF"/>
    <w:rsid w:val="7772528F"/>
    <w:rsid w:val="77931FC3"/>
    <w:rsid w:val="77BF249E"/>
    <w:rsid w:val="77CE2E34"/>
    <w:rsid w:val="78372663"/>
    <w:rsid w:val="783A38D3"/>
    <w:rsid w:val="785B3F75"/>
    <w:rsid w:val="787212BF"/>
    <w:rsid w:val="78886D34"/>
    <w:rsid w:val="78A17189"/>
    <w:rsid w:val="78B57B6B"/>
    <w:rsid w:val="78C57641"/>
    <w:rsid w:val="78CB31FA"/>
    <w:rsid w:val="78DB592B"/>
    <w:rsid w:val="79450781"/>
    <w:rsid w:val="796C5378"/>
    <w:rsid w:val="796D6DC0"/>
    <w:rsid w:val="797A15C6"/>
    <w:rsid w:val="797D79F0"/>
    <w:rsid w:val="799D11A2"/>
    <w:rsid w:val="79A100AE"/>
    <w:rsid w:val="79B62C25"/>
    <w:rsid w:val="79B8427A"/>
    <w:rsid w:val="79EA6627"/>
    <w:rsid w:val="79F857F4"/>
    <w:rsid w:val="7A1C5986"/>
    <w:rsid w:val="7A2219AB"/>
    <w:rsid w:val="7A5769BE"/>
    <w:rsid w:val="7A8B0246"/>
    <w:rsid w:val="7A8D2F19"/>
    <w:rsid w:val="7ACE35B6"/>
    <w:rsid w:val="7AD85D51"/>
    <w:rsid w:val="7ADE6B37"/>
    <w:rsid w:val="7AF327D1"/>
    <w:rsid w:val="7AF53DCD"/>
    <w:rsid w:val="7B082226"/>
    <w:rsid w:val="7B137AB9"/>
    <w:rsid w:val="7B2929E2"/>
    <w:rsid w:val="7B3804BA"/>
    <w:rsid w:val="7B5E5325"/>
    <w:rsid w:val="7B6627E7"/>
    <w:rsid w:val="7B7517F2"/>
    <w:rsid w:val="7B821819"/>
    <w:rsid w:val="7B8D5631"/>
    <w:rsid w:val="7BDA110D"/>
    <w:rsid w:val="7C1E3C37"/>
    <w:rsid w:val="7C1F0EA8"/>
    <w:rsid w:val="7C4104BF"/>
    <w:rsid w:val="7C7272D0"/>
    <w:rsid w:val="7C900A3B"/>
    <w:rsid w:val="7C9A7F2E"/>
    <w:rsid w:val="7CE90B9A"/>
    <w:rsid w:val="7CF1044A"/>
    <w:rsid w:val="7CF16A69"/>
    <w:rsid w:val="7D0F07AE"/>
    <w:rsid w:val="7D197F5B"/>
    <w:rsid w:val="7D2F59D0"/>
    <w:rsid w:val="7D387999"/>
    <w:rsid w:val="7D3E60DB"/>
    <w:rsid w:val="7D545437"/>
    <w:rsid w:val="7D641B1E"/>
    <w:rsid w:val="7DA30671"/>
    <w:rsid w:val="7DA67C5D"/>
    <w:rsid w:val="7DB83C18"/>
    <w:rsid w:val="7DEC43FA"/>
    <w:rsid w:val="7E000A68"/>
    <w:rsid w:val="7E2F56CD"/>
    <w:rsid w:val="7E433911"/>
    <w:rsid w:val="7E68119A"/>
    <w:rsid w:val="7E6E6FEB"/>
    <w:rsid w:val="7E93523C"/>
    <w:rsid w:val="7EC30AC6"/>
    <w:rsid w:val="7ED54A28"/>
    <w:rsid w:val="7EDD358D"/>
    <w:rsid w:val="7EFD12F4"/>
    <w:rsid w:val="7EFD1F83"/>
    <w:rsid w:val="7EFD7FAF"/>
    <w:rsid w:val="7F4C09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4">
    <w:name w:val="heading 1"/>
    <w:basedOn w:val="1"/>
    <w:next w:val="1"/>
    <w:link w:val="45"/>
    <w:qFormat/>
    <w:uiPriority w:val="9"/>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9"/>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2">
    <w:name w:val="heading 4"/>
    <w:basedOn w:val="3"/>
    <w:next w:val="1"/>
    <w:qFormat/>
    <w:uiPriority w:val="9"/>
    <w:pPr>
      <w:keepNext/>
      <w:keepLines/>
      <w:spacing w:before="280" w:after="290" w:line="376" w:lineRule="auto"/>
      <w:outlineLvl w:val="3"/>
    </w:pPr>
    <w:rPr>
      <w:rFonts w:ascii="Cambria" w:hAnsi="Cambria"/>
      <w:sz w:val="28"/>
      <w:szCs w:val="28"/>
    </w:rPr>
  </w:style>
  <w:style w:type="character" w:default="1" w:styleId="13">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27"/>
    <w:semiHidden/>
    <w:unhideWhenUsed/>
    <w:qFormat/>
    <w:uiPriority w:val="99"/>
    <w:rPr>
      <w:b/>
      <w:bCs/>
    </w:rPr>
  </w:style>
  <w:style w:type="paragraph" w:styleId="6">
    <w:name w:val="annotation text"/>
    <w:basedOn w:val="1"/>
    <w:link w:val="26"/>
    <w:unhideWhenUsed/>
    <w:qFormat/>
    <w:uiPriority w:val="99"/>
    <w:pPr>
      <w:jc w:val="left"/>
    </w:pPr>
  </w:style>
  <w:style w:type="paragraph" w:styleId="7">
    <w:name w:val="Normal Indent"/>
    <w:basedOn w:val="1"/>
    <w:qFormat/>
    <w:uiPriority w:val="0"/>
    <w:pPr>
      <w:ind w:firstLine="420" w:firstLineChars="200"/>
    </w:pPr>
    <w:rPr>
      <w:szCs w:val="33"/>
    </w:rPr>
  </w:style>
  <w:style w:type="paragraph" w:styleId="8">
    <w:name w:val="Body Text"/>
    <w:basedOn w:val="1"/>
    <w:link w:val="41"/>
    <w:qFormat/>
    <w:uiPriority w:val="1"/>
    <w:pPr>
      <w:spacing w:before="0" w:line="560" w:lineRule="exact"/>
      <w:ind w:left="0" w:firstLine="880" w:firstLineChars="200"/>
      <w:jc w:val="left"/>
    </w:pPr>
    <w:rPr>
      <w:rFonts w:ascii="Times New Roman" w:hAnsi="Times New Roman" w:eastAsia="方正仿宋_GBK"/>
      <w:kern w:val="0"/>
      <w:sz w:val="32"/>
      <w:szCs w:val="21"/>
      <w:lang w:eastAsia="en-US"/>
      <w14:ligatures w14:val="none"/>
    </w:rPr>
  </w:style>
  <w:style w:type="paragraph" w:styleId="9">
    <w:name w:val="footer"/>
    <w:basedOn w:val="1"/>
    <w:link w:val="20"/>
    <w:unhideWhenUsed/>
    <w:qFormat/>
    <w:uiPriority w:val="99"/>
    <w:pPr>
      <w:tabs>
        <w:tab w:val="center" w:pos="4153"/>
        <w:tab w:val="right" w:pos="8306"/>
      </w:tabs>
      <w:snapToGrid w:val="0"/>
      <w:jc w:val="left"/>
    </w:pPr>
    <w:rPr>
      <w:sz w:val="18"/>
      <w:szCs w:val="18"/>
    </w:rPr>
  </w:style>
  <w:style w:type="paragraph" w:styleId="10">
    <w:name w:val="header"/>
    <w:basedOn w:val="1"/>
    <w:link w:val="19"/>
    <w:unhideWhenUsed/>
    <w:qFormat/>
    <w:uiPriority w:val="99"/>
    <w:pPr>
      <w:tabs>
        <w:tab w:val="center" w:pos="4153"/>
        <w:tab w:val="right" w:pos="8306"/>
      </w:tabs>
      <w:snapToGrid w:val="0"/>
      <w:jc w:val="center"/>
    </w:pPr>
    <w:rPr>
      <w:sz w:val="18"/>
      <w:szCs w:val="18"/>
    </w:rPr>
  </w:style>
  <w:style w:type="paragraph" w:styleId="11">
    <w:name w:val="footnote text"/>
    <w:basedOn w:val="1"/>
    <w:link w:val="32"/>
    <w:semiHidden/>
    <w:unhideWhenUsed/>
    <w:qFormat/>
    <w:uiPriority w:val="99"/>
    <w:pPr>
      <w:snapToGrid w:val="0"/>
      <w:jc w:val="left"/>
    </w:pPr>
    <w:rPr>
      <w:sz w:val="18"/>
      <w:szCs w:val="18"/>
    </w:rPr>
  </w:style>
  <w:style w:type="paragraph" w:styleId="12">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character" w:styleId="15">
    <w:name w:val="annotation reference"/>
    <w:basedOn w:val="13"/>
    <w:semiHidden/>
    <w:unhideWhenUsed/>
    <w:qFormat/>
    <w:uiPriority w:val="99"/>
    <w:rPr>
      <w:sz w:val="21"/>
      <w:szCs w:val="21"/>
    </w:rPr>
  </w:style>
  <w:style w:type="character" w:styleId="16">
    <w:name w:val="footnote reference"/>
    <w:basedOn w:val="13"/>
    <w:semiHidden/>
    <w:unhideWhenUsed/>
    <w:qFormat/>
    <w:uiPriority w:val="99"/>
    <w:rPr>
      <w:vertAlign w:val="superscript"/>
    </w:rPr>
  </w:style>
  <w:style w:type="table" w:styleId="18">
    <w:name w:val="Table Grid"/>
    <w:basedOn w:val="17"/>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9">
    <w:name w:val="页眉 字符"/>
    <w:basedOn w:val="13"/>
    <w:link w:val="10"/>
    <w:qFormat/>
    <w:uiPriority w:val="99"/>
    <w:rPr>
      <w:sz w:val="18"/>
      <w:szCs w:val="18"/>
    </w:rPr>
  </w:style>
  <w:style w:type="character" w:customStyle="1" w:styleId="20">
    <w:name w:val="页脚 字符"/>
    <w:basedOn w:val="13"/>
    <w:link w:val="9"/>
    <w:qFormat/>
    <w:uiPriority w:val="99"/>
    <w:rPr>
      <w:sz w:val="18"/>
      <w:szCs w:val="18"/>
    </w:rPr>
  </w:style>
  <w:style w:type="paragraph" w:styleId="21">
    <w:name w:val="List Paragraph"/>
    <w:basedOn w:val="1"/>
    <w:qFormat/>
    <w:uiPriority w:val="34"/>
    <w:pPr>
      <w:ind w:firstLine="420" w:firstLineChars="200"/>
    </w:pPr>
  </w:style>
  <w:style w:type="character" w:customStyle="1" w:styleId="22">
    <w:name w:val="fontstyle01"/>
    <w:basedOn w:val="13"/>
    <w:qFormat/>
    <w:uiPriority w:val="0"/>
    <w:rPr>
      <w:rFonts w:hint="eastAsia" w:ascii="宋体" w:hAnsi="宋体" w:eastAsia="宋体"/>
      <w:color w:val="000000"/>
      <w:sz w:val="22"/>
      <w:szCs w:val="22"/>
    </w:rPr>
  </w:style>
  <w:style w:type="character" w:customStyle="1" w:styleId="23">
    <w:name w:val="fontstyle21"/>
    <w:basedOn w:val="13"/>
    <w:qFormat/>
    <w:uiPriority w:val="0"/>
    <w:rPr>
      <w:rFonts w:hint="default" w:ascii="TimesNewRoman" w:hAnsi="TimesNewRoman"/>
      <w:color w:val="000000"/>
      <w:sz w:val="32"/>
      <w:szCs w:val="32"/>
    </w:rPr>
  </w:style>
  <w:style w:type="character" w:customStyle="1" w:styleId="24">
    <w:name w:val="fontstyle11"/>
    <w:basedOn w:val="13"/>
    <w:qFormat/>
    <w:uiPriority w:val="0"/>
    <w:rPr>
      <w:rFonts w:hint="default" w:ascii="TimesNewRoman" w:hAnsi="TimesNewRoman"/>
      <w:color w:val="000000"/>
      <w:sz w:val="32"/>
      <w:szCs w:val="32"/>
    </w:rPr>
  </w:style>
  <w:style w:type="character" w:customStyle="1" w:styleId="25">
    <w:name w:val="fontstyle31"/>
    <w:basedOn w:val="13"/>
    <w:qFormat/>
    <w:uiPriority w:val="0"/>
    <w:rPr>
      <w:rFonts w:hint="eastAsia" w:ascii="仿宋_GB2312" w:eastAsia="仿宋_GB2312"/>
      <w:color w:val="000000"/>
      <w:sz w:val="32"/>
      <w:szCs w:val="32"/>
    </w:rPr>
  </w:style>
  <w:style w:type="character" w:customStyle="1" w:styleId="26">
    <w:name w:val="批注文字 字符"/>
    <w:basedOn w:val="13"/>
    <w:link w:val="6"/>
    <w:qFormat/>
    <w:uiPriority w:val="99"/>
  </w:style>
  <w:style w:type="character" w:customStyle="1" w:styleId="27">
    <w:name w:val="批注主题 字符"/>
    <w:basedOn w:val="26"/>
    <w:link w:val="5"/>
    <w:semiHidden/>
    <w:qFormat/>
    <w:uiPriority w:val="99"/>
    <w:rPr>
      <w:b/>
      <w:bCs/>
    </w:rPr>
  </w:style>
  <w:style w:type="paragraph" w:customStyle="1" w:styleId="28">
    <w:name w:val="修订1"/>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29">
    <w:name w:val="修订2"/>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30">
    <w:name w:val="修订3"/>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31">
    <w:name w:val="修订4"/>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character" w:customStyle="1" w:styleId="32">
    <w:name w:val="脚注文本 字符"/>
    <w:basedOn w:val="13"/>
    <w:link w:val="11"/>
    <w:semiHidden/>
    <w:qFormat/>
    <w:uiPriority w:val="99"/>
    <w:rPr>
      <w:kern w:val="2"/>
      <w:sz w:val="18"/>
      <w:szCs w:val="18"/>
      <w14:ligatures w14:val="standardContextual"/>
    </w:rPr>
  </w:style>
  <w:style w:type="table" w:customStyle="1" w:styleId="33">
    <w:name w:val="Table Normal"/>
    <w:semiHidden/>
    <w:unhideWhenUsed/>
    <w:qFormat/>
    <w:uiPriority w:val="2"/>
    <w:pPr>
      <w:widowControl w:val="0"/>
    </w:pPr>
    <w:rPr>
      <w:rFonts w:ascii="Times New Roman" w:hAnsi="Times New Roman" w:eastAsia="宋体" w:cs="Times New Roman"/>
      <w:sz w:val="22"/>
      <w:lang w:eastAsia="en-US"/>
    </w:rPr>
    <w:tblPr>
      <w:tblLayout w:type="fixed"/>
      <w:tblCellMar>
        <w:top w:w="0" w:type="dxa"/>
        <w:left w:w="0" w:type="dxa"/>
        <w:bottom w:w="0" w:type="dxa"/>
        <w:right w:w="0" w:type="dxa"/>
      </w:tblCellMar>
    </w:tblPr>
  </w:style>
  <w:style w:type="paragraph" w:customStyle="1" w:styleId="34">
    <w:name w:val="CM8"/>
    <w:next w:val="1"/>
    <w:unhideWhenUsed/>
    <w:qFormat/>
    <w:uiPriority w:val="99"/>
    <w:pPr>
      <w:widowControl w:val="0"/>
      <w:autoSpaceDE w:val="0"/>
      <w:autoSpaceDN w:val="0"/>
      <w:adjustRightInd w:val="0"/>
      <w:spacing w:line="600" w:lineRule="atLeast"/>
    </w:pPr>
    <w:rPr>
      <w:rFonts w:ascii="华文中宋" w:hAnsi="华文中宋" w:eastAsia="华文中宋" w:cs="Times New Roman"/>
      <w:color w:val="000000"/>
      <w:sz w:val="24"/>
      <w:lang w:val="en-US" w:eastAsia="zh-CN" w:bidi="ar-SA"/>
    </w:rPr>
  </w:style>
  <w:style w:type="paragraph" w:customStyle="1" w:styleId="35">
    <w:name w:val="修订5"/>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36">
    <w:name w:val="修订6"/>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37">
    <w:name w:val="修订7"/>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38">
    <w:name w:val="修订8"/>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39">
    <w:name w:val="修订9"/>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40">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41">
    <w:name w:val="正文文本 字符"/>
    <w:basedOn w:val="13"/>
    <w:link w:val="8"/>
    <w:qFormat/>
    <w:uiPriority w:val="1"/>
    <w:rPr>
      <w:rFonts w:ascii="Times New Roman" w:hAnsi="Times New Roman" w:eastAsia="方正仿宋_GBK"/>
      <w:sz w:val="32"/>
      <w:szCs w:val="21"/>
      <w:lang w:eastAsia="en-US"/>
    </w:rPr>
  </w:style>
  <w:style w:type="paragraph" w:customStyle="1" w:styleId="42">
    <w:name w:val="修订10"/>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43">
    <w:name w:val="修订11"/>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44">
    <w:name w:val="Revision"/>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character" w:customStyle="1" w:styleId="45">
    <w:name w:val="标题 1 字符"/>
    <w:basedOn w:val="13"/>
    <w:link w:val="4"/>
    <w:qFormat/>
    <w:uiPriority w:val="9"/>
    <w:rPr>
      <w:b/>
      <w:bCs/>
      <w:kern w:val="44"/>
      <w:sz w:val="44"/>
      <w:szCs w:val="44"/>
      <w14:ligatures w14:val="standardContextual"/>
    </w:rPr>
  </w:style>
  <w:style w:type="paragraph" w:customStyle="1" w:styleId="46">
    <w:name w:val="默认"/>
    <w:qFormat/>
    <w:uiPriority w:val="0"/>
    <w:rPr>
      <w:rFonts w:ascii="Helvetica" w:hAnsi="Helvetica" w:eastAsia="Helvetica" w:cs="Helvetica"/>
      <w:color w:val="000000"/>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47</Pages>
  <Words>5790</Words>
  <Characters>5983</Characters>
  <Lines>162</Lines>
  <Paragraphs>45</Paragraphs>
  <TotalTime>7</TotalTime>
  <ScaleCrop>false</ScaleCrop>
  <LinksUpToDate>false</LinksUpToDate>
  <CharactersWithSpaces>6006</CharactersWithSpaces>
  <Application>WPS Office_10.8.2.7090_F1E327BC-269C-435d-A152-05C5408002CA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2024-05-24T01:23:00Z</dcterms:created>
  <dc:creator>丶 Gy</dc:creator>
  <cp:lastModifiedBy>巴南区_巴南区办公室_庞燕飞</cp:lastModifiedBy>
  <cp:lastPrinted>2025-03-21T08:57:00Z</cp:lastPrinted>
  <dcterms:modified xsi:type="dcterms:W3CDTF">2025-03-27T06:41:17Z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2052-10.8.2.7090</vt:lpwstr>
  </property>
  <property fmtid="{D5CDD505-2E9C-101B-9397-08002B2CF9AE}" pid="3" name="ICV">
    <vt:lpwstr>4972EA1D0BD0482CA0B001D5131A9025_13</vt:lpwstr>
  </property>
  <property fmtid="{D5CDD505-2E9C-101B-9397-08002B2CF9AE}" pid="4" name="KSOTemplateDocerSaveRecord">
    <vt:lpwstr>eyJoZGlkIjoiZDE1YzU1ZGU0OTc4NzkwYzgxZjA2ODZkYjFiNmI3ZmUiLCJ1c2VySWQiOiI3NDgwNDI4MDIifQ==</vt:lpwstr>
  </property>
</Properties>
</file>