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23" w:firstLineChars="200"/>
        <w:jc w:val="center"/>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小标宋_GBK" w:hAnsi="方正小标宋_GBK" w:eastAsia="方正小标宋_GBK" w:cs="方正小标宋_GBK"/>
          <w:b/>
          <w:i w:val="0"/>
          <w:caps w:val="0"/>
          <w:color w:val="000000"/>
          <w:spacing w:val="0"/>
          <w:kern w:val="0"/>
          <w:sz w:val="36"/>
          <w:szCs w:val="36"/>
          <w:shd w:val="clear" w:color="auto" w:fill="FFFFFF"/>
          <w:lang w:val="en-US" w:eastAsia="zh-CN" w:bidi="ar"/>
        </w:rPr>
        <w:t>《居民死亡医学证明（推断）书》办理指南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【法律法规和政策文件】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0" w:firstLineChars="200"/>
        <w:jc w:val="left"/>
        <w:textAlignment w:val="auto"/>
        <w:outlineLvl w:val="9"/>
        <w:rPr>
          <w:rFonts w:hint="default" w:ascii="微软雅黑" w:hAnsi="微软雅黑" w:eastAsia="微软雅黑" w:cs="微软雅黑"/>
          <w:b w:val="0"/>
          <w:bCs w:val="0"/>
          <w:i w:val="0"/>
          <w:caps w:val="0"/>
          <w:color w:val="333333"/>
          <w:spacing w:val="0"/>
          <w:sz w:val="22"/>
          <w:szCs w:val="22"/>
          <w:highlight w:val="none"/>
          <w:shd w:val="clear" w:color="auto" w:fill="FFFFFF"/>
          <w:lang w:val="en-US" w:eastAsia="zh-CN"/>
        </w:rPr>
      </w:pPr>
      <w:r>
        <w:rPr>
          <w:rFonts w:hint="eastAsia" w:ascii="微软雅黑" w:hAnsi="微软雅黑" w:eastAsia="微软雅黑" w:cs="微软雅黑"/>
          <w:i w:val="0"/>
          <w:caps w:val="0"/>
          <w:color w:val="333333"/>
          <w:spacing w:val="0"/>
          <w:sz w:val="22"/>
          <w:szCs w:val="22"/>
          <w:highlight w:val="none"/>
          <w:shd w:val="clear" w:color="auto" w:fill="FFFFFF"/>
          <w:lang w:val="en-US" w:eastAsia="zh-CN"/>
        </w:rPr>
        <w:t>《关于进一步规范人口死亡医学证明和信息登记管理工作的通知》（国卫规划发〔2013〕57 号）、《关于进一步加强重庆市人口死亡医学证明和信息登记管理工作的通知》（渝卫疾控发〔2015〕39 号）</w:t>
      </w:r>
      <w:r>
        <w:rPr>
          <w:rFonts w:hint="eastAsia" w:ascii="微软雅黑" w:hAnsi="微软雅黑" w:eastAsia="微软雅黑" w:cs="微软雅黑"/>
          <w:i w:val="0"/>
          <w:caps w:val="0"/>
          <w:color w:val="auto"/>
          <w:spacing w:val="0"/>
          <w:sz w:val="22"/>
          <w:szCs w:val="22"/>
          <w:highlight w:val="none"/>
          <w:shd w:val="clear" w:color="auto" w:fill="FFFFFF"/>
          <w:lang w:val="en-US" w:eastAsia="zh-CN"/>
        </w:rPr>
        <w:t>、《</w:t>
      </w:r>
      <w:r>
        <w:rPr>
          <w:rFonts w:hint="eastAsia" w:ascii="微软雅黑" w:hAnsi="微软雅黑" w:eastAsia="微软雅黑" w:cs="微软雅黑"/>
          <w:i w:val="0"/>
          <w:caps w:val="0"/>
          <w:color w:val="333333"/>
          <w:spacing w:val="0"/>
          <w:sz w:val="22"/>
          <w:szCs w:val="22"/>
          <w:highlight w:val="none"/>
          <w:shd w:val="clear" w:color="auto" w:fill="FFFFFF"/>
          <w:lang w:val="en-US" w:eastAsia="zh-CN"/>
        </w:rPr>
        <w:t>人口死因监测工作指导手册》（中国疾病预防控制中心慢性非传染病疾病预防控制中心编，中国人口出版社，2017年6月第1版）、《关于改进和规范基层群众性自治组织出具证明工作的指导意见》（民发〔2020〕20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【服务对象】</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微软雅黑" w:hAnsi="微软雅黑" w:eastAsia="微软雅黑" w:cs="微软雅黑"/>
          <w:i w:val="0"/>
          <w:caps w:val="0"/>
          <w:color w:val="333333"/>
          <w:spacing w:val="0"/>
          <w:sz w:val="22"/>
          <w:szCs w:val="22"/>
          <w:highlight w:val="none"/>
          <w:shd w:val="clear" w:color="auto" w:fill="FFFFFF"/>
          <w:lang w:val="en-US" w:eastAsia="zh-CN"/>
        </w:rPr>
      </w:pPr>
      <w:r>
        <w:rPr>
          <w:rFonts w:hint="eastAsia" w:ascii="微软雅黑" w:hAnsi="微软雅黑" w:eastAsia="微软雅黑" w:cs="微软雅黑"/>
          <w:i w:val="0"/>
          <w:caps w:val="0"/>
          <w:color w:val="333333"/>
          <w:spacing w:val="0"/>
          <w:sz w:val="22"/>
          <w:szCs w:val="22"/>
          <w:highlight w:val="none"/>
          <w:shd w:val="clear" w:color="auto" w:fill="FFFFFF"/>
          <w:lang w:val="en-US" w:eastAsia="zh-CN"/>
        </w:rPr>
        <w:t>发生在巴南区内的所有死亡个案均为死亡医学证明办理的对象，包括在巴南区内死亡的户籍和非户籍中国公民，台、港、澳地区居民和外国人（含死亡新生儿）。由死者家属或知情人</w:t>
      </w:r>
      <w:r>
        <w:rPr>
          <w:rFonts w:hint="eastAsia" w:ascii="微软雅黑" w:hAnsi="微软雅黑" w:eastAsia="微软雅黑" w:cs="微软雅黑"/>
          <w:i w:val="0"/>
          <w:caps w:val="0"/>
          <w:color w:val="333333"/>
          <w:spacing w:val="0"/>
          <w:kern w:val="0"/>
          <w:sz w:val="22"/>
          <w:szCs w:val="22"/>
          <w:highlight w:val="none"/>
          <w:shd w:val="clear" w:color="auto" w:fill="FFFFFF"/>
          <w:lang w:val="en-US" w:eastAsia="zh-CN" w:bidi="ar"/>
        </w:rPr>
        <w:t xml:space="preserve">持本人及死者有效身份证件、死者生前病历资料（如果有）到属地医疗机构申请办理《居民死亡医学证明（推断）书》（以下简称《死亡证》）。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【服务机构信息】</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2400"/>
        <w:gridCol w:w="142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服务机构名称</w:t>
            </w: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地址</w:t>
            </w:r>
          </w:p>
        </w:tc>
        <w:tc>
          <w:tcPr>
            <w:tcW w:w="142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电话</w:t>
            </w:r>
          </w:p>
        </w:tc>
        <w:tc>
          <w:tcPr>
            <w:tcW w:w="331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重庆市第七人民医院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重庆市巴南区李家沱街道工联一村一号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62851221</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夏季（周一至周五）节假日除外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冬季（周一至周五）节假日除外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巴南区人民医院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重庆市巴南区龙洲湾街道渝南大道659号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66237264</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巴南区龙洲湾街道社区卫生服务中心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重庆市巴南区龙州湾街道鱼胡路15号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66239094</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巴南区第二人民医院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重庆市巴南区花溪街道花溪新村18号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62852628</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巴南区中医院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重庆市巴南区龙德路20号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61216967</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巴南区鱼洞街道社区卫生服务中心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重庆市巴南区江滨路1号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周一至周五86536120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节假日86533025</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重庆大江医院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重庆市巴南区莲花街道望江街62号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66285776</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重庆南郊医院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重庆市巴南区花溪街道新工地1号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62552583</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南泉街道社区卫生服务中心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重庆市巴南区南泉街道和平村梁家边组1号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66439828</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一品街道社区卫生服务中心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重庆市巴南区一品街道一品正街16号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66423485</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南彭街道社区卫生服务中心</w:t>
            </w: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重庆市巴南区南彭街道南湖路41号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66375026</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惠民街道社区卫生服务中心</w:t>
            </w:r>
          </w:p>
        </w:tc>
        <w:tc>
          <w:tcPr>
            <w:tcW w:w="2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重庆市巴南区惠民街道惠东路114号</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66412474</w:t>
            </w:r>
          </w:p>
        </w:tc>
        <w:tc>
          <w:tcPr>
            <w:tcW w:w="33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界石镇中心卫生院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重庆市巴南区界石镇东城大道2479号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66483093</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重庆公路物流基地社区卫生服务中心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重庆市巴南区界石镇东城大道333号附7号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86530669</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接龙镇中心卫生院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重庆市巴南区接龙镇花茶街3号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62339772</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东温泉镇中心卫生院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重庆市巴南区东温泉镇金竹街141号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66450082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66459571</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木洞镇中心卫生院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重庆市巴南区木洞镇大桥一路42号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66423878  66436067</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圣灯山镇卫生院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重庆市巴南区圣灯山镇跳石新街12号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66489427</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安澜镇卫生院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重庆市巴南区安澜镇安澜街1号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66484406</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石龙镇卫生院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重庆市巴南区石龙镇龙腾路J栋</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66473627</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姜家镇卫生院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巴南区姜家镇文庙街1号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81921127</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周一到周五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麻柳嘴镇卫生院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重庆市巴南区麻柳嘴镇文明路258号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66438719</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周一到周日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8：30-11：30，14：30-17:00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丰盛镇卫生院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巴南区丰盛镇响水街43号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66431506</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二圣镇卫生院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重庆市巴南区二圣镇正街172号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61551120</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8：00-12：00，14：00-17:00，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双河口镇卫生院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重庆市巴南区双河口镇华山路132号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66433143</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石滩镇卫生院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重庆市巴南区石滩镇升平大道25号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66474390</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夏季（周一至周五）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8：00-12：00，14：30-17:30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冬季（周一至周五）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天星寺镇卫生院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巴南区天星寺镇天星街25号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66458320</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8：30-12：00，14：30-17:30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莲花街道社区卫生服务中心</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重庆市巴南区莲花街道丰华路15号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61556115</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 xml:space="preserve">夏季（周一至周五）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 xml:space="preserve">8：00-12：00，14：00-17:00，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 xml:space="preserve">冬季（周一至周五）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highlight w:val="none"/>
                <w:shd w:val="clear" w:color="auto" w:fill="FFFFFF"/>
                <w:lang w:val="en-US" w:eastAsia="zh-CN" w:bidi="ar"/>
              </w:rPr>
              <w:t xml:space="preserve">8：30-12：00，14：00-17:00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【服务项目</w:t>
      </w:r>
      <w:r>
        <w:rPr>
          <w:rFonts w:hint="eastAsia" w:ascii="方正黑体_GBK" w:hAnsi="方正黑体_GBK" w:eastAsia="方正黑体_GBK" w:cs="方正黑体_GBK"/>
          <w:b/>
          <w:bCs/>
          <w:i w:val="0"/>
          <w:caps w:val="0"/>
          <w:color w:val="333333"/>
          <w:spacing w:val="0"/>
          <w:sz w:val="22"/>
          <w:szCs w:val="22"/>
          <w:shd w:val="clear" w:color="auto" w:fill="FFFFFF"/>
          <w:lang w:val="en-US" w:eastAsia="zh-CN"/>
        </w:rPr>
        <w:t>和内容</w:t>
      </w:r>
      <w:r>
        <w:rPr>
          <w:rFonts w:hint="eastAsia" w:ascii="方正黑体_GBK" w:hAnsi="方正黑体_GBK" w:eastAsia="方正黑体_GBK" w:cs="方正黑体_GBK"/>
          <w:b/>
          <w:bCs/>
          <w:i w:val="0"/>
          <w:caps w:val="0"/>
          <w:color w:val="333333"/>
          <w:spacing w:val="0"/>
          <w:sz w:val="22"/>
          <w:szCs w:val="2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一、《死亡证》办理</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1.医疗卫生机构或来院途中死亡个案《死亡证》办理</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（1）凡在各级各类医疗机构或来院途中发生的死亡个案（包括出诊医生到现场已死亡、到达医院时已死亡、院前急救过程中死亡、院内诊疗过程中死亡）均应由诊治医生做出诊断并开具《死亡证》。</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（2）新生儿死亡，包括活产随即死亡的应由诊治医生或接生员(助产士)开具《死亡证》。</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2.家庭或其他场所死亡个案《死亡证》办理</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（1）正常死亡个案：在家中、</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养老服务机构</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其他场所</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等</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正常死亡</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者</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，由</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本</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辖区社区卫生服务中心</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或</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镇卫生院</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的执业（助理）医师，根据死者家属或</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其他知情人提供的死者生前病史、体征和/或医学诊断，对其死因进行推断，</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开具</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《死亡证》，同时必须填写死亡调查记录，并由家属</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或知情人</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签名。</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440" w:firstLineChars="200"/>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（2）</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非正常死亡个案</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未经救治的非正常死亡个案由公安部门</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开</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具《死亡证》</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440" w:firstLineChars="200"/>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（3）</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失踪人员</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由人民法院依法定程序宣告死亡</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《死亡证》第一联是原始凭证，由出具单位永久保存，以备查询。第二联由公安部门永久保存。第三联由死者家属保存。第四联由民政部门收集保存。</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440" w:firstLineChars="200"/>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二、</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《死亡证》的补发</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440" w:firstLineChars="200"/>
        <w:textAlignment w:val="auto"/>
        <w:rPr>
          <w:rFonts w:hint="default" w:ascii="微软雅黑" w:hAnsi="微软雅黑" w:eastAsia="微软雅黑" w:cs="微软雅黑"/>
          <w:i w:val="0"/>
          <w:caps w:val="0"/>
          <w:color w:val="0000FF"/>
          <w:spacing w:val="0"/>
          <w:kern w:val="0"/>
          <w:sz w:val="22"/>
          <w:szCs w:val="22"/>
          <w:highlight w:val="none"/>
          <w:shd w:val="clear" w:color="auto" w:fill="FFFFFF"/>
          <w:lang w:val="en-US" w:eastAsia="zh-CN" w:bidi="ar"/>
        </w:rPr>
      </w:pP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死者家属遗失《死亡证》，可由《死亡证》签字家属或委托人持有效身份证件向签发单位申请补发一次。补发办法如下</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已办理户籍注销及殡葬手续的，仅补发第三联</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未办理户籍注销及殡葬手续的，补发第二至第四</w:t>
      </w:r>
      <w:bookmarkStart w:id="0" w:name="_GoBack"/>
      <w:bookmarkEnd w:id="0"/>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联。补发《死亡证》时，需在第一联及补发联“医疗卫生机构盖章”栏注明“补发”及补发时间。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【服务要求】</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各医疗卫生机构通过重庆智慧疾控云平台-重庆市死亡医学证明管理系统进行人口死亡信息登记报告，并开具《死亡证》。</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对因管理、签发《</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死亡证</w:t>
      </w:r>
      <w:r>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t>》而掌握的个人信息，应予以保密</w:t>
      </w: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2" w:firstLineChars="200"/>
        <w:jc w:val="left"/>
        <w:textAlignment w:val="auto"/>
        <w:outlineLvl w:val="9"/>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【举报投诉电话】</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default" w:ascii="微软雅黑" w:hAnsi="微软雅黑" w:eastAsia="微软雅黑" w:cs="微软雅黑"/>
          <w:i w:val="0"/>
          <w:caps w:val="0"/>
          <w:color w:val="auto"/>
          <w:spacing w:val="0"/>
          <w:kern w:val="0"/>
          <w:sz w:val="22"/>
          <w:szCs w:val="22"/>
          <w:highlight w:val="none"/>
          <w:shd w:val="clear" w:color="auto" w:fill="FFFFFF"/>
          <w:lang w:val="en-US" w:eastAsia="zh-CN" w:bidi="ar"/>
        </w:rPr>
      </w:pPr>
      <w:r>
        <w:rPr>
          <w:rFonts w:hint="eastAsia" w:ascii="微软雅黑" w:hAnsi="微软雅黑" w:eastAsia="微软雅黑" w:cs="微软雅黑"/>
          <w:i w:val="0"/>
          <w:caps w:val="0"/>
          <w:color w:val="auto"/>
          <w:spacing w:val="0"/>
          <w:kern w:val="0"/>
          <w:sz w:val="22"/>
          <w:szCs w:val="22"/>
          <w:highlight w:val="none"/>
          <w:shd w:val="clear" w:color="auto" w:fill="FFFFFF"/>
          <w:lang w:val="en-US" w:eastAsia="zh-CN" w:bidi="ar"/>
        </w:rPr>
        <w:t>区卫生健康委举报投诉电话：66246621。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jIyNmQ5YzU3YzI4NzVjODc5NDY5MGQyMjk5ZDQifQ=="/>
  </w:docVars>
  <w:rsids>
    <w:rsidRoot w:val="10D8570C"/>
    <w:rsid w:val="002132FC"/>
    <w:rsid w:val="003A65B1"/>
    <w:rsid w:val="02430C69"/>
    <w:rsid w:val="029A212A"/>
    <w:rsid w:val="066F2678"/>
    <w:rsid w:val="068F658C"/>
    <w:rsid w:val="0700253B"/>
    <w:rsid w:val="0F804C18"/>
    <w:rsid w:val="10D8570C"/>
    <w:rsid w:val="131A52E9"/>
    <w:rsid w:val="1BB0479E"/>
    <w:rsid w:val="1F6F6661"/>
    <w:rsid w:val="216103E8"/>
    <w:rsid w:val="21DC208D"/>
    <w:rsid w:val="22C604D4"/>
    <w:rsid w:val="23F06AAC"/>
    <w:rsid w:val="257B7754"/>
    <w:rsid w:val="26731922"/>
    <w:rsid w:val="2E937341"/>
    <w:rsid w:val="2F0D7D0F"/>
    <w:rsid w:val="31013F46"/>
    <w:rsid w:val="313E296F"/>
    <w:rsid w:val="31DC0AA4"/>
    <w:rsid w:val="35F70655"/>
    <w:rsid w:val="408B1BF3"/>
    <w:rsid w:val="41FE6FED"/>
    <w:rsid w:val="421C6050"/>
    <w:rsid w:val="42246BED"/>
    <w:rsid w:val="446F25D8"/>
    <w:rsid w:val="44B24DC5"/>
    <w:rsid w:val="453D110F"/>
    <w:rsid w:val="45573606"/>
    <w:rsid w:val="46D354D2"/>
    <w:rsid w:val="49602128"/>
    <w:rsid w:val="4A3F4B29"/>
    <w:rsid w:val="4ACF34FF"/>
    <w:rsid w:val="4C3121C4"/>
    <w:rsid w:val="4D982F81"/>
    <w:rsid w:val="505B0FDD"/>
    <w:rsid w:val="556F75B7"/>
    <w:rsid w:val="55750BDE"/>
    <w:rsid w:val="57A46FB2"/>
    <w:rsid w:val="585057BB"/>
    <w:rsid w:val="5A2A22F8"/>
    <w:rsid w:val="5CD26385"/>
    <w:rsid w:val="5DAA63E4"/>
    <w:rsid w:val="631E031D"/>
    <w:rsid w:val="632E27EE"/>
    <w:rsid w:val="645006D4"/>
    <w:rsid w:val="66C15980"/>
    <w:rsid w:val="68232BF9"/>
    <w:rsid w:val="6A4C61D5"/>
    <w:rsid w:val="6A9F657A"/>
    <w:rsid w:val="6ECE7364"/>
    <w:rsid w:val="726A39C6"/>
    <w:rsid w:val="75FE5CA3"/>
    <w:rsid w:val="776B0B8D"/>
    <w:rsid w:val="778B3B7A"/>
    <w:rsid w:val="77D54204"/>
    <w:rsid w:val="7ADB4842"/>
    <w:rsid w:val="7F3B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Calibri" w:hAnsi="Calibri" w:eastAsia="宋体" w:cs="Times New Roman"/>
      <w:sz w:val="21"/>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2023-11-08T00:36:00Z</dcterms:created>
  <dc:creator>刘祥英</dc:creator>
  <cp:lastModifiedBy>WPS_1711680632</cp:lastModifiedBy>
  <cp:lastPrinted>2024-04-25T08:55:00Z</cp:lastPrinted>
  <dcterms:modified xsi:type="dcterms:W3CDTF">2024-04-26T03:50:45Z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9B9D6D05BCF0446F812356D8985CBD68</vt:lpwstr>
  </property>
</Properties>
</file>