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K"/>
          <w:snapToGrid w:val="0"/>
          <w:color w:val="000000"/>
          <w:kern w:val="0"/>
          <w:szCs w:val="32"/>
        </w:rPr>
      </w:pPr>
      <w:bookmarkStart w:id="0" w:name="_Hlk30163819"/>
    </w:p>
    <w:p>
      <w:pPr>
        <w:spacing w:line="560" w:lineRule="exact"/>
        <w:rPr>
          <w:rFonts w:ascii="方正仿宋_GBK"/>
          <w:snapToGrid w:val="0"/>
          <w:color w:val="000000"/>
          <w:kern w:val="0"/>
          <w:szCs w:val="32"/>
        </w:rPr>
      </w:pPr>
    </w:p>
    <w:p>
      <w:pPr>
        <w:tabs>
          <w:tab w:val="left" w:pos="2844"/>
        </w:tabs>
        <w:spacing w:line="560" w:lineRule="exact"/>
        <w:rPr>
          <w:rFonts w:ascii="方正仿宋_GBK"/>
          <w:snapToGrid w:val="0"/>
          <w:color w:val="000000"/>
          <w:kern w:val="0"/>
          <w:szCs w:val="32"/>
        </w:rPr>
      </w:pPr>
      <w:r>
        <w:rPr>
          <w:rFonts w:hint="eastAsia" w:ascii="方正仿宋_GBK"/>
          <w:snapToGrid w:val="0"/>
          <w:color w:val="000000"/>
          <w:kern w:val="0"/>
          <w:szCs w:val="32"/>
        </w:rPr>
        <w:tab/>
      </w:r>
    </w:p>
    <w:p>
      <w:pPr>
        <w:spacing w:line="560" w:lineRule="exact"/>
        <w:rPr>
          <w:rFonts w:ascii="方正仿宋_GBK"/>
          <w:snapToGrid w:val="0"/>
          <w:color w:val="000000"/>
          <w:kern w:val="0"/>
          <w:szCs w:val="32"/>
        </w:rPr>
      </w:pPr>
    </w:p>
    <w:p>
      <w:pPr>
        <w:spacing w:line="560" w:lineRule="exact"/>
        <w:jc w:val="center"/>
        <w:rPr>
          <w:rFonts w:ascii="方正仿宋_GBK"/>
          <w:snapToGrid w:val="0"/>
          <w:color w:val="000000"/>
          <w:kern w:val="0"/>
        </w:rPr>
      </w:pPr>
    </w:p>
    <w:p>
      <w:pPr>
        <w:spacing w:line="560" w:lineRule="exact"/>
        <w:jc w:val="center"/>
        <w:rPr>
          <w:rFonts w:ascii="方正仿宋_GBK"/>
          <w:snapToGrid w:val="0"/>
          <w:color w:val="000000"/>
          <w:kern w:val="0"/>
        </w:rPr>
      </w:pPr>
    </w:p>
    <w:p>
      <w:pPr>
        <w:spacing w:line="560" w:lineRule="exact"/>
        <w:jc w:val="center"/>
        <w:rPr>
          <w:rFonts w:ascii="方正仿宋_GBK"/>
          <w:snapToGrid w:val="0"/>
          <w:color w:val="000000"/>
          <w:kern w:val="0"/>
        </w:rPr>
      </w:pPr>
    </w:p>
    <w:p>
      <w:pPr>
        <w:spacing w:line="560" w:lineRule="exact"/>
        <w:rPr>
          <w:rFonts w:ascii="方正仿宋_GBK"/>
          <w:snapToGrid w:val="0"/>
          <w:color w:val="000000"/>
          <w:kern w:val="0"/>
        </w:rPr>
      </w:pPr>
    </w:p>
    <w:p>
      <w:pPr>
        <w:spacing w:line="560" w:lineRule="exact"/>
        <w:jc w:val="center"/>
        <w:rPr>
          <w:rFonts w:ascii="方正仿宋_GBK" w:hAnsi="方正仿宋_GBK" w:cs="方正仿宋_GBK"/>
          <w:snapToGrid w:val="0"/>
          <w:color w:val="000000"/>
          <w:kern w:val="0"/>
          <w:szCs w:val="32"/>
        </w:rPr>
      </w:pPr>
      <w:r>
        <w:rPr>
          <w:rFonts w:hint="eastAsia" w:ascii="方正仿宋_GBK" w:hAnsi="方正仿宋_GBK" w:cs="方正仿宋_GBK"/>
          <w:snapToGrid w:val="0"/>
          <w:color w:val="000000"/>
          <w:kern w:val="0"/>
          <w:szCs w:val="32"/>
        </w:rPr>
        <w:t>巴南安委</w:t>
      </w:r>
      <w:r>
        <w:rPr>
          <w:rFonts w:hint="eastAsia" w:ascii="方正仿宋_GBK" w:hAnsi="仿宋"/>
          <w:bCs/>
          <w:snapToGrid w:val="0"/>
          <w:kern w:val="0"/>
          <w:szCs w:val="32"/>
        </w:rPr>
        <w:t>〔202</w:t>
      </w:r>
      <w:r>
        <w:rPr>
          <w:rFonts w:hint="eastAsia" w:ascii="方正仿宋_GBK" w:hAnsi="仿宋"/>
          <w:bCs/>
          <w:snapToGrid w:val="0"/>
          <w:kern w:val="0"/>
          <w:szCs w:val="32"/>
          <w:lang w:val="en-US" w:eastAsia="zh-CN"/>
        </w:rPr>
        <w:t>2</w:t>
      </w:r>
      <w:r>
        <w:rPr>
          <w:rFonts w:hint="eastAsia" w:ascii="方正仿宋_GBK" w:hAnsi="仿宋"/>
          <w:bCs/>
          <w:snapToGrid w:val="0"/>
          <w:kern w:val="0"/>
          <w:szCs w:val="32"/>
        </w:rPr>
        <w:t>〕</w:t>
      </w:r>
      <w:r>
        <w:rPr>
          <w:rFonts w:hint="eastAsia" w:ascii="方正仿宋_GBK" w:hAnsi="仿宋"/>
          <w:bCs/>
          <w:snapToGrid w:val="0"/>
          <w:kern w:val="0"/>
          <w:szCs w:val="32"/>
          <w:lang w:val="en-US" w:eastAsia="zh-CN"/>
        </w:rPr>
        <w:t>7</w:t>
      </w:r>
      <w:r>
        <w:rPr>
          <w:rFonts w:hint="eastAsia" w:ascii="方正仿宋_GBK" w:hAnsi="方正仿宋_GBK" w:cs="方正仿宋_GBK"/>
          <w:snapToGrid w:val="0"/>
          <w:color w:val="000000"/>
          <w:kern w:val="0"/>
          <w:szCs w:val="32"/>
        </w:rPr>
        <w:t>号</w:t>
      </w:r>
    </w:p>
    <w:p>
      <w:pPr>
        <w:spacing w:line="560" w:lineRule="exact"/>
        <w:rPr>
          <w:rFonts w:ascii="方正仿宋_GBK"/>
          <w:snapToGrid w:val="0"/>
          <w:color w:val="000000"/>
          <w:kern w:val="0"/>
        </w:rPr>
      </w:pPr>
    </w:p>
    <w:bookmarkEnd w:id="0"/>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重庆市巴南区安全生产委员会</w:t>
      </w:r>
    </w:p>
    <w:p>
      <w:pPr>
        <w:keepNext w:val="0"/>
        <w:keepLines w:val="0"/>
        <w:pageBreakBefore w:val="0"/>
        <w:widowControl w:val="0"/>
        <w:kinsoku/>
        <w:wordWrap/>
        <w:topLinePunct w:val="0"/>
        <w:bidi w:val="0"/>
        <w:adjustRightInd/>
        <w:snapToGrid w:val="0"/>
        <w:spacing w:line="62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napToGrid w:val="0"/>
          <w:spacing w:val="40"/>
          <w:kern w:val="0"/>
          <w:sz w:val="44"/>
          <w:szCs w:val="44"/>
        </w:rPr>
        <w:t>重庆市巴南区减灾委员会</w:t>
      </w:r>
    </w:p>
    <w:p>
      <w:pPr>
        <w:keepNext w:val="0"/>
        <w:keepLines w:val="0"/>
        <w:pageBreakBefore w:val="0"/>
        <w:widowControl w:val="0"/>
        <w:kinsoku/>
        <w:wordWrap/>
        <w:overflowPunct w:val="0"/>
        <w:topLinePunct w:val="0"/>
        <w:autoSpaceDE w:val="0"/>
        <w:autoSpaceDN w:val="0"/>
        <w:bidi w:val="0"/>
        <w:adjustRightInd/>
        <w:snapToGrid/>
        <w:spacing w:line="62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关于202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年度安全生产与自然灾害防治目标</w:t>
      </w:r>
    </w:p>
    <w:p>
      <w:pPr>
        <w:keepNext w:val="0"/>
        <w:keepLines w:val="0"/>
        <w:pageBreakBefore w:val="0"/>
        <w:widowControl w:val="0"/>
        <w:kinsoku/>
        <w:wordWrap/>
        <w:overflowPunct w:val="0"/>
        <w:topLinePunct w:val="0"/>
        <w:autoSpaceDE w:val="0"/>
        <w:autoSpaceDN w:val="0"/>
        <w:bidi w:val="0"/>
        <w:adjustRightInd/>
        <w:snapToGrid/>
        <w:spacing w:line="62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考核结果的通报</w:t>
      </w:r>
    </w:p>
    <w:p>
      <w:pPr>
        <w:keepNext w:val="0"/>
        <w:keepLines w:val="0"/>
        <w:pageBreakBefore w:val="0"/>
        <w:widowControl w:val="0"/>
        <w:kinsoku/>
        <w:wordWrap/>
        <w:topLinePunct w:val="0"/>
        <w:bidi w:val="0"/>
        <w:adjustRightInd/>
        <w:spacing w:line="620" w:lineRule="exact"/>
        <w:ind w:left="0" w:leftChars="0" w:right="0" w:rightChars="0"/>
        <w:textAlignment w:val="auto"/>
        <w:rPr>
          <w:rFonts w:hint="eastAsia" w:ascii="方正仿宋_GBK" w:hAnsi="方正仿宋_GBK" w:eastAsia="方正仿宋_GBK" w:cs="方正仿宋_GBK"/>
          <w:color w:val="000000"/>
          <w:sz w:val="32"/>
          <w:szCs w:val="24"/>
        </w:rPr>
      </w:pP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jc w:val="both"/>
        <w:textAlignment w:val="auto"/>
        <w:outlineLvl w:val="9"/>
        <w:rPr>
          <w:rFonts w:hint="eastAsia" w:ascii="方正仿宋_GBK" w:hAnsi="方正仿宋_GBK" w:eastAsia="方正仿宋_GBK" w:cs="方正仿宋_GBK"/>
          <w:color w:val="000000"/>
          <w:sz w:val="32"/>
          <w:szCs w:val="24"/>
        </w:rPr>
      </w:pPr>
      <w:r>
        <w:rPr>
          <w:rFonts w:hint="eastAsia" w:ascii="方正仿宋_GBK" w:hAnsi="方正仿宋_GBK" w:eastAsia="方正仿宋_GBK" w:cs="方正仿宋_GBK"/>
          <w:color w:val="000000"/>
          <w:sz w:val="32"/>
          <w:szCs w:val="24"/>
        </w:rPr>
        <w:t>各镇人民政府、街道办事处，区安委会、区减灾委成员单位，区属平台公司：</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711" w:firstLineChars="225"/>
        <w:jc w:val="both"/>
        <w:textAlignment w:val="auto"/>
        <w:outlineLvl w:val="9"/>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202</w:t>
      </w:r>
      <w:r>
        <w:rPr>
          <w:rFonts w:hint="eastAsia" w:ascii="方正仿宋_GBK"/>
          <w:snapToGrid w:val="0"/>
          <w:kern w:val="0"/>
          <w:sz w:val="32"/>
          <w:szCs w:val="32"/>
          <w:lang w:val="en-US" w:eastAsia="zh-CN"/>
        </w:rPr>
        <w:t>1</w:t>
      </w:r>
      <w:r>
        <w:rPr>
          <w:rFonts w:hint="eastAsia" w:ascii="方正仿宋_GBK" w:eastAsia="方正仿宋_GBK"/>
          <w:snapToGrid w:val="0"/>
          <w:kern w:val="0"/>
          <w:sz w:val="32"/>
          <w:szCs w:val="32"/>
        </w:rPr>
        <w:t>年，在区委、区政府的坚强领导下，全区各级各部门围绕习近平总书记关于安全生产、防灾减灾的重要论述和视察重庆的重要指示精神，全面落实党中央国务院、市委市政府关于安全生产与自然灾害防治工作的决策部署和区委区政府工作要求，各级各部门各单位创新工作，积极作为，恪尽职守，坚决遏制较大及以上生产安全事故和自然灾害亡人事件。全年全区生产安全死亡事故死亡</w:t>
      </w:r>
      <w:r>
        <w:rPr>
          <w:rFonts w:hint="eastAsia" w:ascii="方正仿宋_GBK"/>
          <w:snapToGrid w:val="0"/>
          <w:kern w:val="0"/>
          <w:sz w:val="32"/>
          <w:szCs w:val="32"/>
          <w:lang w:val="en-US" w:eastAsia="zh-CN"/>
        </w:rPr>
        <w:t>29</w:t>
      </w:r>
      <w:r>
        <w:rPr>
          <w:rFonts w:hint="eastAsia" w:ascii="方正仿宋_GBK" w:eastAsia="方正仿宋_GBK"/>
          <w:snapToGrid w:val="0"/>
          <w:kern w:val="0"/>
          <w:sz w:val="32"/>
          <w:szCs w:val="32"/>
        </w:rPr>
        <w:t>人，同比下降</w:t>
      </w:r>
      <w:r>
        <w:rPr>
          <w:rFonts w:hint="eastAsia" w:ascii="方正仿宋_GBK"/>
          <w:snapToGrid w:val="0"/>
          <w:kern w:val="0"/>
          <w:sz w:val="32"/>
          <w:szCs w:val="32"/>
          <w:lang w:val="en-US" w:eastAsia="zh-CN"/>
        </w:rPr>
        <w:t>6.5</w:t>
      </w:r>
      <w:r>
        <w:rPr>
          <w:rFonts w:hint="eastAsia" w:ascii="方正仿宋_GBK" w:eastAsia="方正仿宋_GBK"/>
          <w:snapToGrid w:val="0"/>
          <w:kern w:val="0"/>
          <w:sz w:val="32"/>
          <w:szCs w:val="32"/>
        </w:rPr>
        <w:t>%，亡人数为市下达全年控制性指标的</w:t>
      </w:r>
      <w:r>
        <w:rPr>
          <w:rFonts w:hint="eastAsia" w:ascii="方正仿宋_GBK"/>
          <w:snapToGrid w:val="0"/>
          <w:kern w:val="0"/>
          <w:sz w:val="32"/>
          <w:szCs w:val="32"/>
          <w:lang w:val="en-US" w:eastAsia="zh-CN"/>
        </w:rPr>
        <w:t>80.5</w:t>
      </w:r>
      <w:r>
        <w:rPr>
          <w:rFonts w:hint="eastAsia" w:ascii="方正仿宋_GBK" w:eastAsia="方正仿宋_GBK"/>
          <w:snapToGrid w:val="0"/>
          <w:kern w:val="0"/>
          <w:sz w:val="32"/>
          <w:szCs w:val="32"/>
        </w:rPr>
        <w:t>%，连续</w:t>
      </w:r>
      <w:r>
        <w:rPr>
          <w:rFonts w:hint="eastAsia" w:ascii="方正仿宋_GBK"/>
          <w:snapToGrid w:val="0"/>
          <w:kern w:val="0"/>
          <w:sz w:val="32"/>
          <w:szCs w:val="32"/>
          <w:lang w:val="en-US" w:eastAsia="zh-CN"/>
        </w:rPr>
        <w:t>90</w:t>
      </w:r>
      <w:r>
        <w:rPr>
          <w:rFonts w:hint="eastAsia" w:ascii="方正仿宋_GBK" w:eastAsia="方正仿宋_GBK"/>
          <w:snapToGrid w:val="0"/>
          <w:kern w:val="0"/>
          <w:sz w:val="32"/>
          <w:szCs w:val="32"/>
        </w:rPr>
        <w:t>个月未发生较大及以上事故，全年未发自然灾害亡人事故，圆满完成了年度目标任务。为激励全区安全生产工作的积极性和创造性，根据区安委会、区减灾委《关于印发202</w:t>
      </w:r>
      <w:r>
        <w:rPr>
          <w:rFonts w:hint="eastAsia" w:ascii="方正仿宋_GBK"/>
          <w:snapToGrid w:val="0"/>
          <w:kern w:val="0"/>
          <w:sz w:val="32"/>
          <w:szCs w:val="32"/>
          <w:lang w:val="en-US" w:eastAsia="zh-CN"/>
        </w:rPr>
        <w:t>1</w:t>
      </w:r>
      <w:r>
        <w:rPr>
          <w:rFonts w:hint="eastAsia" w:ascii="方正仿宋_GBK" w:eastAsia="方正仿宋_GBK"/>
          <w:snapToGrid w:val="0"/>
          <w:kern w:val="0"/>
          <w:sz w:val="32"/>
          <w:szCs w:val="32"/>
        </w:rPr>
        <w:t>年全区安全生产与自然灾害防治工作考核办法暨控制指标和考核评分细则的通知》（巴南安委〔202</w:t>
      </w:r>
      <w:r>
        <w:rPr>
          <w:rFonts w:hint="eastAsia" w:ascii="方正仿宋_GBK"/>
          <w:snapToGrid w:val="0"/>
          <w:kern w:val="0"/>
          <w:sz w:val="32"/>
          <w:szCs w:val="32"/>
          <w:lang w:val="en-US" w:eastAsia="zh-CN"/>
        </w:rPr>
        <w:t>1</w:t>
      </w:r>
      <w:r>
        <w:rPr>
          <w:rFonts w:hint="eastAsia" w:ascii="方正仿宋_GBK" w:eastAsia="方正仿宋_GBK"/>
          <w:snapToGrid w:val="0"/>
          <w:kern w:val="0"/>
          <w:sz w:val="32"/>
          <w:szCs w:val="32"/>
        </w:rPr>
        <w:t>〕1</w:t>
      </w:r>
      <w:r>
        <w:rPr>
          <w:rFonts w:hint="eastAsia" w:ascii="方正仿宋_GBK"/>
          <w:snapToGrid w:val="0"/>
          <w:kern w:val="0"/>
          <w:sz w:val="32"/>
          <w:szCs w:val="32"/>
          <w:lang w:val="en-US" w:eastAsia="zh-CN"/>
        </w:rPr>
        <w:t>6</w:t>
      </w:r>
      <w:r>
        <w:rPr>
          <w:rFonts w:hint="eastAsia" w:ascii="方正仿宋_GBK" w:eastAsia="方正仿宋_GBK"/>
          <w:snapToGrid w:val="0"/>
          <w:kern w:val="0"/>
          <w:sz w:val="32"/>
          <w:szCs w:val="32"/>
        </w:rPr>
        <w:t>号），经区安</w:t>
      </w:r>
      <w:r>
        <w:rPr>
          <w:rFonts w:hint="eastAsia" w:ascii="方正仿宋_GBK"/>
          <w:snapToGrid w:val="0"/>
          <w:kern w:val="0"/>
          <w:sz w:val="32"/>
          <w:szCs w:val="32"/>
          <w:lang w:eastAsia="zh-CN"/>
        </w:rPr>
        <w:t>委</w:t>
      </w:r>
      <w:r>
        <w:rPr>
          <w:rFonts w:hint="eastAsia" w:ascii="方正仿宋_GBK" w:eastAsia="方正仿宋_GBK"/>
          <w:snapToGrid w:val="0"/>
          <w:kern w:val="0"/>
          <w:sz w:val="32"/>
          <w:szCs w:val="32"/>
        </w:rPr>
        <w:t>办、区减灾办牵头考核，报区政府审定同意，现将考核结果通报如下：</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一、各镇人民政府、街道办事处和区属国有公司</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先进单位（</w:t>
      </w:r>
      <w:r>
        <w:rPr>
          <w:rFonts w:hint="eastAsia" w:ascii="方正仿宋_GBK"/>
          <w:snapToGrid w:val="0"/>
          <w:kern w:val="0"/>
          <w:sz w:val="32"/>
          <w:szCs w:val="32"/>
          <w:lang w:val="en-US" w:eastAsia="zh-CN"/>
        </w:rPr>
        <w:t>31</w:t>
      </w:r>
      <w:r>
        <w:rPr>
          <w:rFonts w:hint="eastAsia" w:ascii="方正仿宋_GBK" w:eastAsia="方正仿宋_GBK"/>
          <w:snapToGrid w:val="0"/>
          <w:kern w:val="0"/>
          <w:sz w:val="32"/>
          <w:szCs w:val="32"/>
        </w:rPr>
        <w:t>个）：龙洲湾街道、鱼洞街道、李家沱街道、</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jc w:val="both"/>
        <w:textAlignment w:val="auto"/>
        <w:outlineLvl w:val="9"/>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莲花街道、花溪街道</w:t>
      </w:r>
      <w:r>
        <w:rPr>
          <w:rFonts w:hint="eastAsia" w:ascii="方正仿宋_GBK"/>
          <w:snapToGrid w:val="0"/>
          <w:kern w:val="0"/>
          <w:sz w:val="32"/>
          <w:szCs w:val="32"/>
          <w:lang w:eastAsia="zh-CN"/>
        </w:rPr>
        <w:t>、</w:t>
      </w:r>
      <w:r>
        <w:rPr>
          <w:rFonts w:hint="eastAsia" w:ascii="方正仿宋_GBK" w:eastAsia="方正仿宋_GBK"/>
          <w:snapToGrid w:val="0"/>
          <w:kern w:val="0"/>
          <w:sz w:val="32"/>
          <w:szCs w:val="32"/>
        </w:rPr>
        <w:t>南泉街道、一品街道、南彭街道、惠民街道、界石镇、接龙镇、东温泉镇、木洞镇、圣灯山镇、安澜镇、石龙镇、姜家镇、麻柳嘴镇、丰盛镇、二圣镇、双河口镇、石滩镇、天星寺镇。</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仿宋_GBK" w:eastAsia="方正仿宋_GBK"/>
          <w:snapToGrid w:val="0"/>
          <w:kern w:val="0"/>
          <w:sz w:val="32"/>
          <w:szCs w:val="32"/>
        </w:rPr>
      </w:pPr>
      <w:r>
        <w:rPr>
          <w:rFonts w:hint="default" w:ascii="Times New Roman" w:hAnsi="Times New Roman" w:eastAsia="方正仿宋_GBK" w:cs="Times New Roman"/>
          <w:snapToGrid w:val="0"/>
          <w:kern w:val="0"/>
          <w:sz w:val="32"/>
          <w:szCs w:val="32"/>
        </w:rPr>
        <w:t>渝兴公司、区经济园区公司、物流基地公司、</w:t>
      </w:r>
      <w:r>
        <w:rPr>
          <w:rFonts w:hint="default" w:ascii="Times New Roman" w:hAnsi="Times New Roman" w:eastAsia="方正仿宋_GBK" w:cs="Times New Roman"/>
          <w:sz w:val="32"/>
          <w:szCs w:val="32"/>
        </w:rPr>
        <w:t>巴洲文旅集团</w:t>
      </w:r>
      <w:r>
        <w:rPr>
          <w:rFonts w:hint="default" w:ascii="Times New Roman" w:hAnsi="Times New Roman" w:eastAsia="方正仿宋_GBK" w:cs="Times New Roman"/>
          <w:snapToGrid w:val="0"/>
          <w:kern w:val="0"/>
          <w:sz w:val="32"/>
          <w:szCs w:val="32"/>
        </w:rPr>
        <w:t>、国际生物城公司、巴源公司</w:t>
      </w:r>
      <w:r>
        <w:rPr>
          <w:rFonts w:hint="default" w:ascii="Times New Roman" w:hAnsi="Times New Roman" w:eastAsia="方正仿宋_GBK" w:cs="Times New Roman"/>
          <w:sz w:val="32"/>
          <w:szCs w:val="32"/>
        </w:rPr>
        <w:t>、大江科创城公司、智慧总部新城公司</w:t>
      </w:r>
      <w:r>
        <w:rPr>
          <w:rFonts w:hint="eastAsia" w:ascii="方正仿宋_GBK" w:eastAsia="方正仿宋_GBK"/>
          <w:snapToGrid w:val="0"/>
          <w:kern w:val="0"/>
          <w:sz w:val="32"/>
          <w:szCs w:val="32"/>
        </w:rPr>
        <w:t>。</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二、区级有关部门和单位</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楷体_GBK" w:hAnsi="方正楷体_GBK" w:eastAsia="方正楷体_GBK" w:cs="方正楷体_GBK"/>
          <w:snapToGrid w:val="0"/>
          <w:kern w:val="0"/>
          <w:sz w:val="32"/>
          <w:szCs w:val="32"/>
        </w:rPr>
      </w:pPr>
      <w:r>
        <w:rPr>
          <w:rFonts w:hint="eastAsia" w:ascii="方正楷体_GBK" w:hAnsi="方正楷体_GBK" w:eastAsia="方正楷体_GBK" w:cs="方正楷体_GBK"/>
          <w:snapToGrid w:val="0"/>
          <w:kern w:val="0"/>
          <w:sz w:val="32"/>
          <w:szCs w:val="32"/>
        </w:rPr>
        <w:t>（一）一类考核单位</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楷体_GBK" w:hAnsi="方正楷体_GBK" w:eastAsia="方正楷体_GBK" w:cs="方正楷体_GBK"/>
          <w:snapToGrid w:val="0"/>
          <w:kern w:val="0"/>
          <w:sz w:val="32"/>
          <w:szCs w:val="32"/>
        </w:rPr>
      </w:pPr>
      <w:r>
        <w:rPr>
          <w:rFonts w:hint="eastAsia" w:ascii="方正仿宋_GBK" w:eastAsia="方正仿宋_GBK"/>
          <w:snapToGrid w:val="0"/>
          <w:kern w:val="0"/>
          <w:sz w:val="32"/>
          <w:szCs w:val="32"/>
        </w:rPr>
        <w:t>先进单位（2</w:t>
      </w:r>
      <w:r>
        <w:rPr>
          <w:rFonts w:hint="eastAsia" w:ascii="方正仿宋_GBK"/>
          <w:snapToGrid w:val="0"/>
          <w:kern w:val="0"/>
          <w:sz w:val="32"/>
          <w:szCs w:val="32"/>
          <w:lang w:val="en-US" w:eastAsia="zh-CN"/>
        </w:rPr>
        <w:t>0</w:t>
      </w:r>
      <w:r>
        <w:rPr>
          <w:rFonts w:hint="eastAsia" w:ascii="方正仿宋_GBK" w:eastAsia="方正仿宋_GBK"/>
          <w:snapToGrid w:val="0"/>
          <w:kern w:val="0"/>
          <w:sz w:val="32"/>
          <w:szCs w:val="32"/>
        </w:rPr>
        <w:t>个）：</w:t>
      </w:r>
      <w:r>
        <w:rPr>
          <w:rFonts w:hint="eastAsia" w:ascii="方正仿宋_GBK" w:hAnsi="方正仿宋_GBK" w:eastAsia="方正仿宋_GBK" w:cs="方正仿宋_GBK"/>
          <w:snapToGrid w:val="0"/>
          <w:kern w:val="0"/>
          <w:sz w:val="32"/>
          <w:szCs w:val="32"/>
        </w:rPr>
        <w:t>区发展改革委、区教委、区经济信息委、区民政局、区城市管理局、区水利局、区农业农村委、区商务委、区文化旅游委、区卫生健康委、区应急</w:t>
      </w:r>
      <w:r>
        <w:rPr>
          <w:rFonts w:hint="eastAsia" w:ascii="方正仿宋_GBK" w:hAnsi="方正仿宋_GBK" w:eastAsia="方正仿宋_GBK" w:cs="方正仿宋_GBK"/>
          <w:snapToGrid w:val="0"/>
          <w:kern w:val="0"/>
          <w:sz w:val="32"/>
          <w:szCs w:val="32"/>
          <w:lang w:val="en-US" w:eastAsia="zh-CN"/>
        </w:rPr>
        <w:t>管理</w:t>
      </w:r>
      <w:r>
        <w:rPr>
          <w:rFonts w:hint="eastAsia" w:ascii="方正仿宋_GBK" w:hAnsi="方正仿宋_GBK" w:eastAsia="方正仿宋_GBK" w:cs="方正仿宋_GBK"/>
          <w:snapToGrid w:val="0"/>
          <w:kern w:val="0"/>
          <w:sz w:val="32"/>
          <w:szCs w:val="32"/>
        </w:rPr>
        <w:t>局、区林业局、区体育局、区公安分局、区规划自然资源局、区市场监管局、区供销社、区气象局、区消防救援支队、巴南海事处</w:t>
      </w:r>
      <w:r>
        <w:rPr>
          <w:rFonts w:hint="eastAsia" w:ascii="方正仿宋_GBK" w:eastAsia="方正仿宋_GBK"/>
          <w:snapToGrid w:val="0"/>
          <w:kern w:val="0"/>
          <w:sz w:val="32"/>
          <w:szCs w:val="32"/>
        </w:rPr>
        <w:t>。</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达标单位（</w:t>
      </w:r>
      <w:r>
        <w:rPr>
          <w:rFonts w:hint="eastAsia" w:ascii="方正仿宋_GBK"/>
          <w:snapToGrid w:val="0"/>
          <w:kern w:val="0"/>
          <w:sz w:val="32"/>
          <w:szCs w:val="32"/>
          <w:lang w:val="en-US" w:eastAsia="zh-CN"/>
        </w:rPr>
        <w:t>2</w:t>
      </w:r>
      <w:r>
        <w:rPr>
          <w:rFonts w:hint="eastAsia" w:ascii="方正仿宋_GBK" w:eastAsia="方正仿宋_GBK"/>
          <w:snapToGrid w:val="0"/>
          <w:kern w:val="0"/>
          <w:sz w:val="32"/>
          <w:szCs w:val="32"/>
        </w:rPr>
        <w:t>个）：区住房城乡建委</w:t>
      </w:r>
      <w:r>
        <w:rPr>
          <w:rFonts w:hint="eastAsia" w:ascii="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rPr>
        <w:t>区交通局</w:t>
      </w:r>
      <w:r>
        <w:rPr>
          <w:rFonts w:hint="eastAsia" w:ascii="方正仿宋_GBK" w:eastAsia="方正仿宋_GBK"/>
          <w:snapToGrid w:val="0"/>
          <w:kern w:val="0"/>
          <w:sz w:val="32"/>
          <w:szCs w:val="32"/>
        </w:rPr>
        <w:t>。</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楷体_GBK" w:hAnsi="方正楷体_GBK" w:eastAsia="方正楷体_GBK" w:cs="方正楷体_GBK"/>
          <w:snapToGrid w:val="0"/>
          <w:kern w:val="0"/>
          <w:sz w:val="32"/>
          <w:szCs w:val="32"/>
        </w:rPr>
      </w:pPr>
      <w:r>
        <w:rPr>
          <w:rFonts w:hint="eastAsia" w:ascii="方正楷体_GBK" w:hAnsi="方正楷体_GBK" w:eastAsia="方正楷体_GBK" w:cs="方正楷体_GBK"/>
          <w:snapToGrid w:val="0"/>
          <w:kern w:val="0"/>
          <w:sz w:val="32"/>
          <w:szCs w:val="32"/>
          <w:lang w:eastAsia="zh-CN"/>
        </w:rPr>
        <w:t>（二）</w:t>
      </w:r>
      <w:r>
        <w:rPr>
          <w:rFonts w:hint="eastAsia" w:ascii="方正楷体_GBK" w:hAnsi="方正楷体_GBK" w:eastAsia="方正楷体_GBK" w:cs="方正楷体_GBK"/>
          <w:snapToGrid w:val="0"/>
          <w:kern w:val="0"/>
          <w:sz w:val="32"/>
          <w:szCs w:val="32"/>
        </w:rPr>
        <w:t>二类考核单位</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仿宋_GBK" w:eastAsia="方正仿宋_GBK"/>
          <w:snapToGrid w:val="0"/>
          <w:kern w:val="0"/>
          <w:sz w:val="32"/>
          <w:szCs w:val="32"/>
          <w:lang w:eastAsia="zh-CN"/>
        </w:rPr>
      </w:pPr>
      <w:r>
        <w:rPr>
          <w:rFonts w:hint="eastAsia" w:ascii="方正仿宋_GBK"/>
          <w:snapToGrid w:val="0"/>
          <w:kern w:val="0"/>
          <w:sz w:val="32"/>
          <w:szCs w:val="32"/>
          <w:lang w:eastAsia="zh-CN"/>
        </w:rPr>
        <w:t>先进</w:t>
      </w:r>
      <w:r>
        <w:rPr>
          <w:rFonts w:hint="eastAsia" w:ascii="方正仿宋_GBK" w:eastAsia="方正仿宋_GBK"/>
          <w:snapToGrid w:val="0"/>
          <w:kern w:val="0"/>
          <w:sz w:val="32"/>
          <w:szCs w:val="32"/>
        </w:rPr>
        <w:t>单位（21个）：区委组织部、区委宣传部、区委统战部（区民族宗教委）、区委政法委、区委网信办、区科技局、区司法局、区财政局、区人力社保局、区生态</w:t>
      </w:r>
      <w:r>
        <w:rPr>
          <w:rFonts w:hint="eastAsia" w:ascii="方正仿宋_GBK"/>
          <w:snapToGrid w:val="0"/>
          <w:kern w:val="0"/>
          <w:sz w:val="32"/>
          <w:szCs w:val="32"/>
          <w:lang w:val="en-US" w:eastAsia="zh-CN"/>
        </w:rPr>
        <w:t>环境</w:t>
      </w:r>
      <w:bookmarkStart w:id="1" w:name="_GoBack"/>
      <w:bookmarkEnd w:id="1"/>
      <w:r>
        <w:rPr>
          <w:rFonts w:hint="eastAsia" w:ascii="方正仿宋_GBK" w:eastAsia="方正仿宋_GBK"/>
          <w:snapToGrid w:val="0"/>
          <w:kern w:val="0"/>
          <w:sz w:val="32"/>
          <w:szCs w:val="32"/>
        </w:rPr>
        <w:t>局、区大数据发展局、区统计局、区金融发展中心、区国资中心、区工商联、区总工会、团区委、区妇联、区科协、区税务局、巴南银保监分局</w:t>
      </w:r>
      <w:r>
        <w:rPr>
          <w:rFonts w:hint="eastAsia" w:ascii="方正仿宋_GBK"/>
          <w:snapToGrid w:val="0"/>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56" w:firstLineChars="176"/>
        <w:jc w:val="both"/>
        <w:textAlignment w:val="auto"/>
        <w:outlineLvl w:val="9"/>
        <w:rPr>
          <w:rFonts w:hint="eastAsia"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202</w:t>
      </w:r>
      <w:r>
        <w:rPr>
          <w:rFonts w:hint="eastAsia" w:ascii="方正仿宋_GBK" w:hAnsi="Times New Roman" w:eastAsia="方正仿宋_GBK" w:cs="Times New Roman"/>
          <w:snapToGrid w:val="0"/>
          <w:kern w:val="0"/>
          <w:sz w:val="32"/>
          <w:szCs w:val="32"/>
          <w:lang w:val="en-US" w:eastAsia="zh-CN"/>
        </w:rPr>
        <w:t>2</w:t>
      </w:r>
      <w:r>
        <w:rPr>
          <w:rFonts w:hint="eastAsia" w:ascii="方正仿宋_GBK" w:hAnsi="Times New Roman" w:eastAsia="方正仿宋_GBK" w:cs="Times New Roman"/>
          <w:snapToGrid w:val="0"/>
          <w:kern w:val="0"/>
          <w:sz w:val="32"/>
          <w:szCs w:val="32"/>
        </w:rPr>
        <w:t>年，全区各级各部门要发扬成绩，再接再厉，统筹发展和安全两件大事，坚持人民至上、生命至上，以</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控大事故、防大灾害</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为目标</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以大排查大整治大执法为主线</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以落实</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常态化安全监管十条措施</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和</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企业一线岗位员工安全责任制</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为抓手</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持续深入推进安全生产专项整治三年行动</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坚决遏制</w:t>
      </w:r>
      <w:r>
        <w:rPr>
          <w:rFonts w:hint="eastAsia" w:ascii="方正仿宋_GBK" w:hAnsi="Times New Roman" w:cs="Times New Roman"/>
          <w:snapToGrid w:val="0"/>
          <w:kern w:val="0"/>
          <w:sz w:val="32"/>
          <w:szCs w:val="32"/>
          <w:lang w:eastAsia="zh-CN"/>
        </w:rPr>
        <w:t>较</w:t>
      </w:r>
      <w:r>
        <w:rPr>
          <w:rFonts w:hint="eastAsia" w:ascii="方正仿宋_GBK" w:hAnsi="Times New Roman" w:eastAsia="方正仿宋_GBK" w:cs="Times New Roman"/>
          <w:snapToGrid w:val="0"/>
          <w:kern w:val="0"/>
          <w:sz w:val="32"/>
          <w:szCs w:val="32"/>
        </w:rPr>
        <w:t>大及以上</w:t>
      </w:r>
      <w:r>
        <w:rPr>
          <w:rFonts w:hint="eastAsia" w:ascii="方正仿宋_GBK" w:cs="Times New Roman"/>
          <w:snapToGrid w:val="0"/>
          <w:kern w:val="0"/>
          <w:sz w:val="32"/>
          <w:szCs w:val="32"/>
          <w:lang w:eastAsia="zh-CN"/>
        </w:rPr>
        <w:t>生产安全</w:t>
      </w:r>
      <w:r>
        <w:rPr>
          <w:rFonts w:hint="eastAsia" w:ascii="方正仿宋_GBK" w:hAnsi="Times New Roman" w:eastAsia="方正仿宋_GBK" w:cs="Times New Roman"/>
          <w:snapToGrid w:val="0"/>
          <w:kern w:val="0"/>
          <w:sz w:val="32"/>
          <w:szCs w:val="32"/>
        </w:rPr>
        <w:t>事故</w:t>
      </w:r>
      <w:r>
        <w:rPr>
          <w:rFonts w:hint="eastAsia" w:ascii="方正仿宋_GBK" w:cs="Times New Roman"/>
          <w:snapToGrid w:val="0"/>
          <w:kern w:val="0"/>
          <w:sz w:val="32"/>
          <w:szCs w:val="32"/>
          <w:lang w:eastAsia="zh-CN"/>
        </w:rPr>
        <w:t>，</w:t>
      </w:r>
      <w:r>
        <w:rPr>
          <w:rFonts w:hint="eastAsia" w:ascii="方正仿宋_GBK" w:hAnsi="Times New Roman" w:cs="Times New Roman"/>
          <w:snapToGrid w:val="0"/>
          <w:kern w:val="0"/>
          <w:sz w:val="32"/>
          <w:szCs w:val="32"/>
          <w:lang w:eastAsia="zh-CN"/>
        </w:rPr>
        <w:t>努力压减一般生产安全事故</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努力减少因灾死亡(失踪)人数</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坚决防止发生因灾导致的群死群伤责任事件</w:t>
      </w:r>
      <w:r>
        <w:rPr>
          <w:rFonts w:hint="eastAsia" w:ascii="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以高水平</w:t>
      </w:r>
      <w:r>
        <w:rPr>
          <w:rFonts w:hint="eastAsia" w:ascii="方正仿宋_GBK" w:hAnsi="Times New Roman" w:eastAsia="方正仿宋_GBK" w:cs="Times New Roman"/>
          <w:snapToGrid w:val="0"/>
          <w:kern w:val="0"/>
          <w:sz w:val="32"/>
          <w:szCs w:val="32"/>
          <w:lang w:val="en-US" w:eastAsia="zh-CN"/>
        </w:rPr>
        <w:t>生产</w:t>
      </w:r>
      <w:r>
        <w:rPr>
          <w:rFonts w:hint="eastAsia" w:ascii="方正仿宋_GBK" w:hAnsi="Times New Roman" w:eastAsia="方正仿宋_GBK" w:cs="Times New Roman"/>
          <w:snapToGrid w:val="0"/>
          <w:kern w:val="0"/>
          <w:sz w:val="32"/>
          <w:szCs w:val="32"/>
        </w:rPr>
        <w:t>安全</w:t>
      </w:r>
      <w:r>
        <w:rPr>
          <w:rFonts w:hint="eastAsia" w:ascii="方正仿宋_GBK" w:hAnsi="Times New Roman" w:eastAsia="方正仿宋_GBK" w:cs="Times New Roman"/>
          <w:snapToGrid w:val="0"/>
          <w:kern w:val="0"/>
          <w:sz w:val="32"/>
          <w:szCs w:val="32"/>
          <w:lang w:val="en-US" w:eastAsia="zh-CN"/>
        </w:rPr>
        <w:t>和防灾减灾</w:t>
      </w:r>
      <w:r>
        <w:rPr>
          <w:rFonts w:hint="eastAsia" w:ascii="方正仿宋_GBK" w:hAnsi="Times New Roman" w:eastAsia="方正仿宋_GBK" w:cs="Times New Roman"/>
          <w:snapToGrid w:val="0"/>
          <w:kern w:val="0"/>
          <w:sz w:val="32"/>
          <w:szCs w:val="32"/>
        </w:rPr>
        <w:t>服务保障全</w:t>
      </w:r>
      <w:r>
        <w:rPr>
          <w:rFonts w:hint="eastAsia" w:ascii="方正仿宋_GBK" w:hAnsi="Times New Roman" w:eastAsia="方正仿宋_GBK" w:cs="Times New Roman"/>
          <w:snapToGrid w:val="0"/>
          <w:kern w:val="0"/>
          <w:sz w:val="32"/>
          <w:szCs w:val="32"/>
          <w:lang w:eastAsia="zh-CN"/>
        </w:rPr>
        <w:t>区</w:t>
      </w:r>
      <w:r>
        <w:rPr>
          <w:rFonts w:hint="eastAsia" w:ascii="方正仿宋_GBK" w:hAnsi="Times New Roman" w:eastAsia="方正仿宋_GBK" w:cs="Times New Roman"/>
          <w:snapToGrid w:val="0"/>
          <w:kern w:val="0"/>
          <w:sz w:val="32"/>
          <w:szCs w:val="32"/>
        </w:rPr>
        <w:t>经济社会高质量发展,为党的二十大胜利召开营造安全稳定环境。</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711" w:firstLineChars="225"/>
        <w:jc w:val="both"/>
        <w:textAlignment w:val="auto"/>
        <w:outlineLvl w:val="9"/>
        <w:rPr>
          <w:rFonts w:hint="eastAsia" w:ascii="方正仿宋_GBK" w:eastAsia="方正仿宋_GBK"/>
          <w:snapToGrid w:val="0"/>
          <w:kern w:val="0"/>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401" w:firstLineChars="127"/>
        <w:jc w:val="both"/>
        <w:textAlignment w:val="auto"/>
        <w:outlineLvl w:val="9"/>
        <w:rPr>
          <w:rFonts w:hint="eastAsia" w:ascii="方正仿宋_GBK" w:eastAsia="方正仿宋_GBK"/>
          <w:snapToGrid w:val="0"/>
          <w:kern w:val="0"/>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jc w:val="both"/>
        <w:textAlignment w:val="auto"/>
        <w:outlineLvl w:val="9"/>
        <w:rPr>
          <w:rFonts w:hint="eastAsia" w:ascii="方正仿宋_GBK" w:eastAsia="方正仿宋_GBK"/>
          <w:snapToGrid w:val="0"/>
          <w:kern w:val="0"/>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jc w:val="both"/>
        <w:textAlignment w:val="auto"/>
        <w:outlineLvl w:val="9"/>
        <w:rPr>
          <w:rFonts w:hint="eastAsia" w:ascii="方正仿宋_GBK" w:eastAsia="方正仿宋_GBK"/>
          <w:snapToGrid w:val="0"/>
          <w:kern w:val="0"/>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jc w:val="both"/>
        <w:textAlignment w:val="auto"/>
        <w:outlineLvl w:val="9"/>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重庆市巴南区安全生产委员会       重庆市巴南区减灾委员会</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401" w:firstLineChars="127"/>
        <w:jc w:val="both"/>
        <w:textAlignment w:val="auto"/>
        <w:outlineLvl w:val="9"/>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firstLine="5767" w:firstLineChars="1825"/>
        <w:jc w:val="both"/>
        <w:textAlignment w:val="auto"/>
        <w:outlineLvl w:val="9"/>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 xml:space="preserve"> 202</w:t>
      </w:r>
      <w:r>
        <w:rPr>
          <w:rFonts w:hint="eastAsia" w:ascii="方正仿宋_GBK"/>
          <w:snapToGrid w:val="0"/>
          <w:kern w:val="0"/>
          <w:sz w:val="32"/>
          <w:szCs w:val="32"/>
          <w:lang w:val="en-US" w:eastAsia="zh-CN"/>
        </w:rPr>
        <w:t>2</w:t>
      </w:r>
      <w:r>
        <w:rPr>
          <w:rFonts w:hint="eastAsia" w:ascii="方正仿宋_GBK" w:eastAsia="方正仿宋_GBK"/>
          <w:snapToGrid w:val="0"/>
          <w:kern w:val="0"/>
          <w:sz w:val="32"/>
          <w:szCs w:val="32"/>
        </w:rPr>
        <w:t>年</w:t>
      </w:r>
      <w:r>
        <w:rPr>
          <w:rFonts w:hint="eastAsia" w:ascii="方正仿宋_GBK"/>
          <w:snapToGrid w:val="0"/>
          <w:kern w:val="0"/>
          <w:sz w:val="32"/>
          <w:szCs w:val="32"/>
          <w:lang w:val="en-US" w:eastAsia="zh-CN"/>
        </w:rPr>
        <w:t>2</w:t>
      </w:r>
      <w:r>
        <w:rPr>
          <w:rFonts w:hint="eastAsia" w:ascii="方正仿宋_GBK" w:eastAsia="方正仿宋_GBK"/>
          <w:snapToGrid w:val="0"/>
          <w:kern w:val="0"/>
          <w:sz w:val="32"/>
          <w:szCs w:val="32"/>
        </w:rPr>
        <w:t>月</w:t>
      </w:r>
      <w:r>
        <w:rPr>
          <w:rFonts w:hint="eastAsia" w:ascii="方正仿宋_GBK"/>
          <w:snapToGrid w:val="0"/>
          <w:kern w:val="0"/>
          <w:sz w:val="32"/>
          <w:szCs w:val="32"/>
          <w:lang w:val="en-US" w:eastAsia="zh-CN"/>
        </w:rPr>
        <w:t>8</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rPr>
        <w:tab/>
      </w:r>
    </w:p>
    <w:p>
      <w:pPr>
        <w:overflowPunct w:val="0"/>
        <w:snapToGrid w:val="0"/>
        <w:spacing w:line="560" w:lineRule="exact"/>
        <w:ind w:firstLine="401" w:firstLineChars="127"/>
        <w:jc w:val="left"/>
        <w:rPr>
          <w:rFonts w:hint="eastAsia" w:ascii="Times New Roman" w:hAnsi="Times New Roman" w:eastAsia="方正仿宋_GBK" w:cs="Times New Roman"/>
          <w:color w:val="000000"/>
          <w:kern w:val="0"/>
          <w:sz w:val="32"/>
          <w:szCs w:val="32"/>
          <w:lang w:val="en-US" w:eastAsia="zh-CN" w:bidi="ar-SA"/>
        </w:rPr>
      </w:pPr>
      <w:r>
        <w:rPr>
          <w:rFonts w:hint="eastAsia" w:ascii="方正仿宋_GBK" w:eastAsia="方正仿宋_GBK"/>
          <w:snapToGrid w:val="0"/>
          <w:kern w:val="0"/>
          <w:sz w:val="32"/>
          <w:szCs w:val="32"/>
        </w:rPr>
        <w:br w:type="textWrapping"/>
      </w:r>
      <w:r>
        <w:rPr>
          <w:rFonts w:hint="eastAsia" w:ascii="方正仿宋_GBK"/>
          <w:snapToGrid w:val="0"/>
          <w:kern w:val="0"/>
          <w:sz w:val="32"/>
          <w:szCs w:val="32"/>
          <w:lang w:eastAsia="zh-CN"/>
        </w:rPr>
        <w:t>（此件公开发布）</w:t>
      </w:r>
    </w:p>
    <w:p>
      <w:pPr>
        <w:rPr>
          <w:rFonts w:hint="eastAsia" w:ascii="Times New Roman" w:hAnsi="Times New Roman" w:eastAsia="方正仿宋_GBK" w:cs="Times New Roman"/>
          <w:color w:val="000000"/>
          <w:kern w:val="0"/>
          <w:sz w:val="32"/>
          <w:szCs w:val="32"/>
          <w:lang w:val="en-US" w:eastAsia="zh-CN" w:bidi="ar-SA"/>
        </w:rPr>
      </w:pPr>
    </w:p>
    <w:p>
      <w:pPr>
        <w:rPr>
          <w:rFonts w:hint="eastAsia" w:ascii="Times New Roman" w:hAnsi="Times New Roman" w:eastAsia="方正仿宋_GBK" w:cs="Times New Roman"/>
          <w:color w:val="000000"/>
          <w:kern w:val="0"/>
          <w:sz w:val="32"/>
          <w:szCs w:val="32"/>
          <w:lang w:val="en-US" w:eastAsia="zh-CN" w:bidi="ar-SA"/>
        </w:rPr>
      </w:pPr>
    </w:p>
    <w:p>
      <w:pPr>
        <w:rPr>
          <w:rFonts w:hint="eastAsia" w:ascii="Times New Roman" w:hAnsi="Times New Roman" w:eastAsia="方正仿宋_GBK" w:cs="Times New Roman"/>
          <w:color w:val="000000"/>
          <w:kern w:val="0"/>
          <w:sz w:val="32"/>
          <w:szCs w:val="32"/>
          <w:lang w:val="en-US" w:eastAsia="zh-CN" w:bidi="ar-SA"/>
        </w:rPr>
      </w:pPr>
    </w:p>
    <w:p>
      <w:pPr>
        <w:pStyle w:val="3"/>
        <w:rPr>
          <w:rFonts w:hint="eastAsia"/>
          <w:lang w:val="en-US" w:eastAsia="zh-CN"/>
        </w:rPr>
      </w:pPr>
    </w:p>
    <w:p>
      <w:pPr>
        <w:pStyle w:val="3"/>
        <w:rPr>
          <w:rFonts w:hint="eastAsia"/>
          <w:lang w:val="en-US" w:eastAsia="zh-CN"/>
        </w:rPr>
      </w:pPr>
    </w:p>
    <w:p>
      <w:pPr>
        <w:pStyle w:val="3"/>
        <w:rPr>
          <w:rFonts w:hint="eastAsia" w:ascii="Times New Roman" w:hAnsi="Times New Roman" w:eastAsia="方正仿宋_GBK" w:cs="Times New Roman"/>
          <w:color w:val="000000"/>
          <w:kern w:val="0"/>
          <w:sz w:val="32"/>
          <w:szCs w:val="32"/>
          <w:lang w:val="en-US" w:eastAsia="zh-CN" w:bidi="ar-SA"/>
        </w:rPr>
      </w:pPr>
    </w:p>
    <w:p>
      <w:pPr>
        <w:pStyle w:val="3"/>
        <w:rPr>
          <w:rFonts w:hint="eastAsia"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jc w:val="both"/>
        <w:textAlignment w:val="auto"/>
        <w:outlineLvl w:val="9"/>
        <w:rPr>
          <w:rFonts w:hint="eastAsia" w:ascii="方正仿宋_GBK" w:eastAsia="方正仿宋_GBK"/>
          <w:snapToGrid w:val="0"/>
          <w:kern w:val="0"/>
          <w:sz w:val="32"/>
          <w:szCs w:val="32"/>
          <w:lang w:val="en-US" w:eastAsia="zh-CN"/>
        </w:rPr>
      </w:pPr>
    </w:p>
    <w:p>
      <w:pPr>
        <w:pBdr>
          <w:top w:val="single" w:color="auto" w:sz="4" w:space="0"/>
          <w:bottom w:val="single" w:color="auto" w:sz="4" w:space="0"/>
        </w:pBdr>
        <w:tabs>
          <w:tab w:val="left" w:pos="1891"/>
        </w:tabs>
        <w:ind w:firstLine="588" w:firstLineChars="200"/>
        <w:jc w:val="left"/>
        <w:rPr>
          <w:rFonts w:hint="eastAsia" w:ascii="方正仿宋_GBK" w:hAnsi="方正仿宋_GBK" w:eastAsia="方正仿宋_GBK" w:cs="方正仿宋_GBK"/>
          <w:spacing w:val="-11"/>
          <w:lang w:val="en-US" w:eastAsia="zh-CN"/>
        </w:rPr>
      </w:pPr>
      <w:r>
        <w:rPr>
          <w:rFonts w:hint="eastAsia" w:ascii="方正仿宋_GBK" w:hAnsi="方正仿宋_GBK" w:eastAsia="方正仿宋_GBK" w:cs="方正仿宋_GBK"/>
          <w:spacing w:val="-11"/>
          <w:lang w:val="en-US" w:eastAsia="zh-CN"/>
        </w:rPr>
        <w:t xml:space="preserve">重庆市巴南区安全生产委员会办公室 </w:t>
      </w:r>
      <w:r>
        <w:rPr>
          <w:rFonts w:hint="eastAsia" w:ascii="方正仿宋_GBK" w:hAnsi="方正仿宋_GBK" w:cs="方正仿宋_GBK"/>
          <w:spacing w:val="-11"/>
          <w:lang w:val="en-US" w:eastAsia="zh-CN"/>
        </w:rPr>
        <w:t xml:space="preserve"> </w:t>
      </w:r>
      <w:r>
        <w:rPr>
          <w:rFonts w:hint="eastAsia" w:ascii="方正仿宋_GBK" w:hAnsi="方正仿宋_GBK" w:eastAsia="方正仿宋_GBK" w:cs="方正仿宋_GBK"/>
          <w:spacing w:val="-11"/>
          <w:lang w:val="en-US" w:eastAsia="zh-CN"/>
        </w:rPr>
        <w:t xml:space="preserve">  </w:t>
      </w:r>
      <w:r>
        <w:rPr>
          <w:rFonts w:hint="eastAsia" w:ascii="方正仿宋_GBK" w:hAnsi="方正仿宋_GBK" w:cs="方正仿宋_GBK"/>
          <w:spacing w:val="-11"/>
          <w:lang w:val="en-US" w:eastAsia="zh-CN"/>
        </w:rPr>
        <w:t xml:space="preserve"> </w:t>
      </w:r>
      <w:r>
        <w:rPr>
          <w:rFonts w:hint="eastAsia" w:ascii="方正仿宋_GBK" w:hAnsi="方正仿宋_GBK" w:eastAsia="方正仿宋_GBK" w:cs="方正仿宋_GBK"/>
          <w:spacing w:val="-11"/>
          <w:lang w:val="en-US" w:eastAsia="zh-CN"/>
        </w:rPr>
        <w:t>202</w:t>
      </w:r>
      <w:r>
        <w:rPr>
          <w:rFonts w:hint="eastAsia" w:ascii="方正仿宋_GBK" w:hAnsi="方正仿宋_GBK" w:cs="方正仿宋_GBK"/>
          <w:spacing w:val="-11"/>
          <w:lang w:val="en-US" w:eastAsia="zh-CN"/>
        </w:rPr>
        <w:t>2</w:t>
      </w:r>
      <w:r>
        <w:rPr>
          <w:rFonts w:hint="eastAsia" w:ascii="方正仿宋_GBK" w:hAnsi="方正仿宋_GBK" w:eastAsia="方正仿宋_GBK" w:cs="方正仿宋_GBK"/>
          <w:spacing w:val="-11"/>
          <w:lang w:val="en-US" w:eastAsia="zh-CN"/>
        </w:rPr>
        <w:t>年</w:t>
      </w:r>
      <w:r>
        <w:rPr>
          <w:rFonts w:hint="eastAsia" w:ascii="方正仿宋_GBK" w:hAnsi="方正仿宋_GBK" w:cs="方正仿宋_GBK"/>
          <w:spacing w:val="-11"/>
          <w:lang w:val="en-US" w:eastAsia="zh-CN"/>
        </w:rPr>
        <w:t>2</w:t>
      </w:r>
      <w:r>
        <w:rPr>
          <w:rFonts w:hint="eastAsia" w:ascii="方正仿宋_GBK" w:hAnsi="方正仿宋_GBK" w:eastAsia="方正仿宋_GBK" w:cs="方正仿宋_GBK"/>
          <w:spacing w:val="-11"/>
          <w:lang w:val="en-US" w:eastAsia="zh-CN"/>
        </w:rPr>
        <w:t>月</w:t>
      </w:r>
      <w:r>
        <w:rPr>
          <w:rFonts w:hint="eastAsia" w:ascii="方正仿宋_GBK" w:hAnsi="方正仿宋_GBK" w:cs="方正仿宋_GBK"/>
          <w:spacing w:val="-11"/>
          <w:lang w:val="en-US" w:eastAsia="zh-CN"/>
        </w:rPr>
        <w:t>8</w:t>
      </w:r>
      <w:r>
        <w:rPr>
          <w:rFonts w:hint="eastAsia" w:ascii="方正仿宋_GBK" w:hAnsi="方正仿宋_GBK" w:eastAsia="方正仿宋_GBK" w:cs="方正仿宋_GBK"/>
          <w:spacing w:val="-11"/>
          <w:lang w:val="en-US" w:eastAsia="zh-CN"/>
        </w:rPr>
        <w:t>日印发</w:t>
      </w:r>
    </w:p>
    <w:sectPr>
      <w:footerReference r:id="rId3" w:type="default"/>
      <w:footerReference r:id="rId4" w:type="even"/>
      <w:pgSz w:w="11906" w:h="16838"/>
      <w:pgMar w:top="2098" w:right="1474" w:bottom="1984" w:left="1587" w:header="851" w:footer="147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180" w:firstLine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8"/>
  <w:drawingGridVerticalSpacing w:val="290"/>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B1B"/>
    <w:rsid w:val="0001089A"/>
    <w:rsid w:val="000135EB"/>
    <w:rsid w:val="0001412B"/>
    <w:rsid w:val="00032104"/>
    <w:rsid w:val="0004042D"/>
    <w:rsid w:val="00041FB1"/>
    <w:rsid w:val="00041FE3"/>
    <w:rsid w:val="0007151B"/>
    <w:rsid w:val="000770CA"/>
    <w:rsid w:val="00084AA4"/>
    <w:rsid w:val="00097A9F"/>
    <w:rsid w:val="000A0093"/>
    <w:rsid w:val="000A449F"/>
    <w:rsid w:val="000B14A3"/>
    <w:rsid w:val="000B72FC"/>
    <w:rsid w:val="000E1793"/>
    <w:rsid w:val="000E6E8B"/>
    <w:rsid w:val="000F63A6"/>
    <w:rsid w:val="000F749E"/>
    <w:rsid w:val="001126F0"/>
    <w:rsid w:val="0014735A"/>
    <w:rsid w:val="001511BC"/>
    <w:rsid w:val="00152D3F"/>
    <w:rsid w:val="00155498"/>
    <w:rsid w:val="00155F80"/>
    <w:rsid w:val="00171DD0"/>
    <w:rsid w:val="00172A27"/>
    <w:rsid w:val="00177224"/>
    <w:rsid w:val="00193B4A"/>
    <w:rsid w:val="00194BB9"/>
    <w:rsid w:val="001A1F52"/>
    <w:rsid w:val="001C204A"/>
    <w:rsid w:val="001C3716"/>
    <w:rsid w:val="001C6A99"/>
    <w:rsid w:val="001D0A62"/>
    <w:rsid w:val="001D6541"/>
    <w:rsid w:val="001D7FE1"/>
    <w:rsid w:val="001E1200"/>
    <w:rsid w:val="001E248E"/>
    <w:rsid w:val="001F37C0"/>
    <w:rsid w:val="002114BA"/>
    <w:rsid w:val="0021465F"/>
    <w:rsid w:val="00214794"/>
    <w:rsid w:val="002169C7"/>
    <w:rsid w:val="002270B1"/>
    <w:rsid w:val="00231C8C"/>
    <w:rsid w:val="00233D4B"/>
    <w:rsid w:val="00252923"/>
    <w:rsid w:val="00255722"/>
    <w:rsid w:val="00274847"/>
    <w:rsid w:val="00280ED4"/>
    <w:rsid w:val="00292E15"/>
    <w:rsid w:val="002B33A9"/>
    <w:rsid w:val="002B6ECE"/>
    <w:rsid w:val="002D268F"/>
    <w:rsid w:val="00301D7C"/>
    <w:rsid w:val="003026EF"/>
    <w:rsid w:val="00304A47"/>
    <w:rsid w:val="003100B1"/>
    <w:rsid w:val="003113BE"/>
    <w:rsid w:val="003114FA"/>
    <w:rsid w:val="0031677E"/>
    <w:rsid w:val="0033020D"/>
    <w:rsid w:val="0034215D"/>
    <w:rsid w:val="003573D2"/>
    <w:rsid w:val="00363938"/>
    <w:rsid w:val="00363C9D"/>
    <w:rsid w:val="00365A32"/>
    <w:rsid w:val="00380512"/>
    <w:rsid w:val="0039360B"/>
    <w:rsid w:val="003C5412"/>
    <w:rsid w:val="003E46FD"/>
    <w:rsid w:val="003E7922"/>
    <w:rsid w:val="003F1D78"/>
    <w:rsid w:val="004239DC"/>
    <w:rsid w:val="00443B8A"/>
    <w:rsid w:val="004466FB"/>
    <w:rsid w:val="00446C01"/>
    <w:rsid w:val="00450861"/>
    <w:rsid w:val="00456CC7"/>
    <w:rsid w:val="00465FBD"/>
    <w:rsid w:val="0047089B"/>
    <w:rsid w:val="00490487"/>
    <w:rsid w:val="00497169"/>
    <w:rsid w:val="004A37E1"/>
    <w:rsid w:val="004C0364"/>
    <w:rsid w:val="004C49ED"/>
    <w:rsid w:val="004F26A8"/>
    <w:rsid w:val="004F46BC"/>
    <w:rsid w:val="004F5910"/>
    <w:rsid w:val="00510B30"/>
    <w:rsid w:val="00521BE8"/>
    <w:rsid w:val="00546A32"/>
    <w:rsid w:val="00556375"/>
    <w:rsid w:val="0056071E"/>
    <w:rsid w:val="005674DE"/>
    <w:rsid w:val="00576332"/>
    <w:rsid w:val="00576C95"/>
    <w:rsid w:val="005819EE"/>
    <w:rsid w:val="00584BAC"/>
    <w:rsid w:val="005B5C66"/>
    <w:rsid w:val="005D6305"/>
    <w:rsid w:val="005E720E"/>
    <w:rsid w:val="00631767"/>
    <w:rsid w:val="00633B64"/>
    <w:rsid w:val="006405D2"/>
    <w:rsid w:val="00640E1C"/>
    <w:rsid w:val="0066491E"/>
    <w:rsid w:val="00682800"/>
    <w:rsid w:val="00690F72"/>
    <w:rsid w:val="006944F8"/>
    <w:rsid w:val="0069670D"/>
    <w:rsid w:val="006A0A03"/>
    <w:rsid w:val="006A5F3E"/>
    <w:rsid w:val="006B385E"/>
    <w:rsid w:val="006B42F1"/>
    <w:rsid w:val="006B65CE"/>
    <w:rsid w:val="006F3A5D"/>
    <w:rsid w:val="006F4D83"/>
    <w:rsid w:val="00704E48"/>
    <w:rsid w:val="00706E26"/>
    <w:rsid w:val="00722289"/>
    <w:rsid w:val="00754FA7"/>
    <w:rsid w:val="00766B0D"/>
    <w:rsid w:val="00770AA7"/>
    <w:rsid w:val="0077305F"/>
    <w:rsid w:val="00773322"/>
    <w:rsid w:val="007925EF"/>
    <w:rsid w:val="007A2832"/>
    <w:rsid w:val="007B522B"/>
    <w:rsid w:val="007C6A1C"/>
    <w:rsid w:val="007E0BF8"/>
    <w:rsid w:val="007F3C95"/>
    <w:rsid w:val="007F6133"/>
    <w:rsid w:val="008164C6"/>
    <w:rsid w:val="00840FB4"/>
    <w:rsid w:val="00844499"/>
    <w:rsid w:val="00852890"/>
    <w:rsid w:val="008542F4"/>
    <w:rsid w:val="00863CA2"/>
    <w:rsid w:val="0088770D"/>
    <w:rsid w:val="00897185"/>
    <w:rsid w:val="008A015B"/>
    <w:rsid w:val="008A70BB"/>
    <w:rsid w:val="008B0F81"/>
    <w:rsid w:val="008B7C49"/>
    <w:rsid w:val="008C1023"/>
    <w:rsid w:val="008C5FE1"/>
    <w:rsid w:val="008D7DD4"/>
    <w:rsid w:val="008E141A"/>
    <w:rsid w:val="008E665F"/>
    <w:rsid w:val="009023F1"/>
    <w:rsid w:val="00922CB6"/>
    <w:rsid w:val="00931650"/>
    <w:rsid w:val="00932F08"/>
    <w:rsid w:val="00951D76"/>
    <w:rsid w:val="0095368C"/>
    <w:rsid w:val="0096128E"/>
    <w:rsid w:val="00963804"/>
    <w:rsid w:val="00984ECF"/>
    <w:rsid w:val="009B2CFE"/>
    <w:rsid w:val="009D366E"/>
    <w:rsid w:val="009D45FC"/>
    <w:rsid w:val="009D6A58"/>
    <w:rsid w:val="00A21380"/>
    <w:rsid w:val="00A354F8"/>
    <w:rsid w:val="00A438F0"/>
    <w:rsid w:val="00A5158A"/>
    <w:rsid w:val="00A60785"/>
    <w:rsid w:val="00A67458"/>
    <w:rsid w:val="00A72DAD"/>
    <w:rsid w:val="00A839EE"/>
    <w:rsid w:val="00A907F1"/>
    <w:rsid w:val="00A942F6"/>
    <w:rsid w:val="00A97096"/>
    <w:rsid w:val="00AA21DB"/>
    <w:rsid w:val="00AA6004"/>
    <w:rsid w:val="00AC0821"/>
    <w:rsid w:val="00AC2669"/>
    <w:rsid w:val="00AD1637"/>
    <w:rsid w:val="00AE2C95"/>
    <w:rsid w:val="00AE41CB"/>
    <w:rsid w:val="00AE7992"/>
    <w:rsid w:val="00B1022F"/>
    <w:rsid w:val="00B1171C"/>
    <w:rsid w:val="00B203A3"/>
    <w:rsid w:val="00B25EF8"/>
    <w:rsid w:val="00B268F0"/>
    <w:rsid w:val="00B46F63"/>
    <w:rsid w:val="00B5251A"/>
    <w:rsid w:val="00B6158A"/>
    <w:rsid w:val="00B61D38"/>
    <w:rsid w:val="00B63593"/>
    <w:rsid w:val="00B641F5"/>
    <w:rsid w:val="00B8788E"/>
    <w:rsid w:val="00BA7DB2"/>
    <w:rsid w:val="00BC355B"/>
    <w:rsid w:val="00BC5E2B"/>
    <w:rsid w:val="00BD30A9"/>
    <w:rsid w:val="00BD55F8"/>
    <w:rsid w:val="00BE5893"/>
    <w:rsid w:val="00BF17C5"/>
    <w:rsid w:val="00C05405"/>
    <w:rsid w:val="00C06779"/>
    <w:rsid w:val="00C079E5"/>
    <w:rsid w:val="00C07CE7"/>
    <w:rsid w:val="00C46FD6"/>
    <w:rsid w:val="00C55072"/>
    <w:rsid w:val="00C73658"/>
    <w:rsid w:val="00C7630B"/>
    <w:rsid w:val="00C831C1"/>
    <w:rsid w:val="00CC0C11"/>
    <w:rsid w:val="00CC7A88"/>
    <w:rsid w:val="00CD7143"/>
    <w:rsid w:val="00CF6A4F"/>
    <w:rsid w:val="00D0100E"/>
    <w:rsid w:val="00D049CD"/>
    <w:rsid w:val="00D07926"/>
    <w:rsid w:val="00D11B9E"/>
    <w:rsid w:val="00D33D07"/>
    <w:rsid w:val="00D44CE1"/>
    <w:rsid w:val="00D46EA8"/>
    <w:rsid w:val="00D477C9"/>
    <w:rsid w:val="00D72FBE"/>
    <w:rsid w:val="00D807C3"/>
    <w:rsid w:val="00D8197C"/>
    <w:rsid w:val="00D8754F"/>
    <w:rsid w:val="00D94CB1"/>
    <w:rsid w:val="00DC00CA"/>
    <w:rsid w:val="00DC020A"/>
    <w:rsid w:val="00DE5187"/>
    <w:rsid w:val="00DF14A9"/>
    <w:rsid w:val="00DF1C6D"/>
    <w:rsid w:val="00E04CC5"/>
    <w:rsid w:val="00E057DA"/>
    <w:rsid w:val="00E159EF"/>
    <w:rsid w:val="00E21C81"/>
    <w:rsid w:val="00E2413A"/>
    <w:rsid w:val="00E2440D"/>
    <w:rsid w:val="00E2490B"/>
    <w:rsid w:val="00E25124"/>
    <w:rsid w:val="00E33C12"/>
    <w:rsid w:val="00E41E41"/>
    <w:rsid w:val="00E52F2C"/>
    <w:rsid w:val="00E7345B"/>
    <w:rsid w:val="00E84965"/>
    <w:rsid w:val="00E900A8"/>
    <w:rsid w:val="00E9279B"/>
    <w:rsid w:val="00E97AB2"/>
    <w:rsid w:val="00EA1B7A"/>
    <w:rsid w:val="00EA1BD6"/>
    <w:rsid w:val="00EA5492"/>
    <w:rsid w:val="00EA7E1B"/>
    <w:rsid w:val="00EC0321"/>
    <w:rsid w:val="00EC3AC9"/>
    <w:rsid w:val="00EC4B0A"/>
    <w:rsid w:val="00EE3496"/>
    <w:rsid w:val="00F135FC"/>
    <w:rsid w:val="00F372B8"/>
    <w:rsid w:val="00F610C8"/>
    <w:rsid w:val="00F6578A"/>
    <w:rsid w:val="00F72600"/>
    <w:rsid w:val="00F85E1F"/>
    <w:rsid w:val="00FA4FBF"/>
    <w:rsid w:val="00FA7F4F"/>
    <w:rsid w:val="00FC294A"/>
    <w:rsid w:val="00FC5703"/>
    <w:rsid w:val="00FD24E1"/>
    <w:rsid w:val="00FD7F06"/>
    <w:rsid w:val="01717BA1"/>
    <w:rsid w:val="041E6A7A"/>
    <w:rsid w:val="042379AD"/>
    <w:rsid w:val="04615850"/>
    <w:rsid w:val="050B6108"/>
    <w:rsid w:val="0A1C2EBF"/>
    <w:rsid w:val="0C8F3661"/>
    <w:rsid w:val="0C9C322F"/>
    <w:rsid w:val="0E0101B3"/>
    <w:rsid w:val="0F4B6FB7"/>
    <w:rsid w:val="0F595A94"/>
    <w:rsid w:val="104C7756"/>
    <w:rsid w:val="111E1B0A"/>
    <w:rsid w:val="11BC69EC"/>
    <w:rsid w:val="1239553C"/>
    <w:rsid w:val="127F1918"/>
    <w:rsid w:val="17BE1C3B"/>
    <w:rsid w:val="18E1618B"/>
    <w:rsid w:val="18FB6EA5"/>
    <w:rsid w:val="19675C04"/>
    <w:rsid w:val="19AB39BF"/>
    <w:rsid w:val="1D5C6739"/>
    <w:rsid w:val="1DB2700C"/>
    <w:rsid w:val="1FB73E9C"/>
    <w:rsid w:val="1FE0307C"/>
    <w:rsid w:val="24651BAF"/>
    <w:rsid w:val="275F7E40"/>
    <w:rsid w:val="27DC50E0"/>
    <w:rsid w:val="29A27397"/>
    <w:rsid w:val="2D500416"/>
    <w:rsid w:val="2D736638"/>
    <w:rsid w:val="2E146104"/>
    <w:rsid w:val="2EC95381"/>
    <w:rsid w:val="2FDD2F82"/>
    <w:rsid w:val="384D094D"/>
    <w:rsid w:val="39471638"/>
    <w:rsid w:val="39993167"/>
    <w:rsid w:val="3D870859"/>
    <w:rsid w:val="40457123"/>
    <w:rsid w:val="408F131E"/>
    <w:rsid w:val="420A25A4"/>
    <w:rsid w:val="45531B94"/>
    <w:rsid w:val="473A3A32"/>
    <w:rsid w:val="4AD12290"/>
    <w:rsid w:val="4AFB07D3"/>
    <w:rsid w:val="4BCF6E68"/>
    <w:rsid w:val="4C9B44F4"/>
    <w:rsid w:val="52B315BA"/>
    <w:rsid w:val="5303300F"/>
    <w:rsid w:val="53C01D2D"/>
    <w:rsid w:val="54FD2BB6"/>
    <w:rsid w:val="56012296"/>
    <w:rsid w:val="560766E2"/>
    <w:rsid w:val="595A23E9"/>
    <w:rsid w:val="5AF83FFB"/>
    <w:rsid w:val="5D831AEE"/>
    <w:rsid w:val="5E982558"/>
    <w:rsid w:val="60D958BD"/>
    <w:rsid w:val="612428F5"/>
    <w:rsid w:val="61793B31"/>
    <w:rsid w:val="61AC1573"/>
    <w:rsid w:val="65490AF0"/>
    <w:rsid w:val="659F247A"/>
    <w:rsid w:val="65D52BD8"/>
    <w:rsid w:val="66341C48"/>
    <w:rsid w:val="69CC0E98"/>
    <w:rsid w:val="6A5B6DC2"/>
    <w:rsid w:val="6B7C461C"/>
    <w:rsid w:val="6D8B320C"/>
    <w:rsid w:val="6F63265B"/>
    <w:rsid w:val="6F7F0409"/>
    <w:rsid w:val="6F9B0445"/>
    <w:rsid w:val="707E1786"/>
    <w:rsid w:val="721D21DA"/>
    <w:rsid w:val="722C10B0"/>
    <w:rsid w:val="726D2121"/>
    <w:rsid w:val="729D7A80"/>
    <w:rsid w:val="76C06514"/>
    <w:rsid w:val="776C524A"/>
    <w:rsid w:val="780A694A"/>
    <w:rsid w:val="797E1F50"/>
    <w:rsid w:val="79A61BC8"/>
    <w:rsid w:val="7A4B2A05"/>
    <w:rsid w:val="7A620E82"/>
    <w:rsid w:val="7A6C1468"/>
    <w:rsid w:val="7D1120B2"/>
    <w:rsid w:val="7E8825FC"/>
    <w:rsid w:val="7EBE3CB0"/>
    <w:rsid w:val="7F5D5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b/>
      <w:kern w:val="44"/>
      <w:sz w:val="48"/>
      <w:szCs w:val="48"/>
    </w:rPr>
  </w:style>
  <w:style w:type="paragraph" w:styleId="5">
    <w:name w:val="heading 2"/>
    <w:basedOn w:val="1"/>
    <w:next w:val="1"/>
    <w:link w:val="23"/>
    <w:unhideWhenUsed/>
    <w:qFormat/>
    <w:uiPriority w:val="0"/>
    <w:pPr>
      <w:keepNext/>
      <w:keepLines/>
      <w:spacing w:before="260" w:after="260" w:line="416" w:lineRule="auto"/>
      <w:outlineLvl w:val="1"/>
    </w:pPr>
    <w:rPr>
      <w:rFonts w:ascii="Calibri Light" w:hAnsi="Calibri Light" w:eastAsia="宋体" w:cs="黑体"/>
      <w:b/>
      <w:bCs/>
      <w:szCs w:val="32"/>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qFormat/>
    <w:uiPriority w:val="0"/>
    <w:pPr>
      <w:spacing w:after="120"/>
    </w:pPr>
    <w:rPr>
      <w:rFonts w:ascii="Calibri" w:hAnsi="Calibri"/>
      <w:kern w:val="0"/>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1"/>
    <w:qFormat/>
    <w:uiPriority w:val="0"/>
    <w:pPr>
      <w:spacing w:before="240" w:after="60"/>
      <w:jc w:val="center"/>
      <w:outlineLvl w:val="0"/>
    </w:pPr>
    <w:rPr>
      <w:rFonts w:ascii="Calibri Light" w:hAnsi="Calibri Light" w:eastAsia="宋体" w:cs="黑体"/>
      <w:b/>
      <w:bCs/>
      <w:szCs w:val="32"/>
    </w:rPr>
  </w:style>
  <w:style w:type="character" w:styleId="12">
    <w:name w:val="page number"/>
    <w:basedOn w:val="11"/>
    <w:qFormat/>
    <w:uiPriority w:val="0"/>
  </w:style>
  <w:style w:type="character" w:styleId="13">
    <w:name w:val="Emphasis"/>
    <w:basedOn w:val="11"/>
    <w:qFormat/>
    <w:uiPriority w:val="20"/>
    <w:rPr>
      <w:i/>
      <w:iCs/>
    </w:rPr>
  </w:style>
  <w:style w:type="character" w:styleId="14">
    <w:name w:val="Hyperlink"/>
    <w:basedOn w:val="11"/>
    <w:qFormat/>
    <w:uiPriority w:val="0"/>
    <w:rPr>
      <w:color w:val="0563C1"/>
      <w:u w:val="single"/>
    </w:rPr>
  </w:style>
  <w:style w:type="table" w:styleId="16">
    <w:name w:val="Table Grid"/>
    <w:basedOn w:val="15"/>
    <w:qFormat/>
    <w:uiPriority w:val="0"/>
    <w:pPr>
      <w:widowControl w:val="0"/>
      <w:jc w:val="both"/>
    </w:pPr>
    <w:rPr>
      <w:rFonts w:ascii="Calibri" w:hAnsi="Calibri"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批注框文本 Char"/>
    <w:basedOn w:val="11"/>
    <w:link w:val="6"/>
    <w:qFormat/>
    <w:uiPriority w:val="0"/>
    <w:rPr>
      <w:rFonts w:ascii="Times New Roman" w:hAnsi="Times New Roman" w:eastAsia="方正仿宋_GBK" w:cs="Times New Roman"/>
      <w:kern w:val="2"/>
      <w:sz w:val="18"/>
      <w:szCs w:val="18"/>
    </w:rPr>
  </w:style>
  <w:style w:type="character" w:customStyle="1" w:styleId="19">
    <w:name w:val="未处理的提及1"/>
    <w:basedOn w:val="11"/>
    <w:unhideWhenUsed/>
    <w:qFormat/>
    <w:uiPriority w:val="99"/>
    <w:rPr>
      <w:color w:val="605E5C"/>
      <w:shd w:val="clear" w:color="auto" w:fill="E1DFDD"/>
    </w:rPr>
  </w:style>
  <w:style w:type="character" w:customStyle="1" w:styleId="20">
    <w:name w:val="信息标题 Char"/>
    <w:basedOn w:val="11"/>
    <w:link w:val="2"/>
    <w:qFormat/>
    <w:uiPriority w:val="0"/>
    <w:rPr>
      <w:rFonts w:ascii="Calibri Light" w:hAnsi="Calibri Light" w:eastAsia="宋体" w:cs="Times New Roman"/>
      <w:kern w:val="2"/>
      <w:sz w:val="24"/>
      <w:szCs w:val="24"/>
      <w:shd w:val="pct20" w:color="auto" w:fill="auto"/>
    </w:rPr>
  </w:style>
  <w:style w:type="character" w:customStyle="1" w:styleId="21">
    <w:name w:val="标题 Char"/>
    <w:basedOn w:val="11"/>
    <w:link w:val="10"/>
    <w:qFormat/>
    <w:uiPriority w:val="0"/>
    <w:rPr>
      <w:rFonts w:ascii="Calibri Light" w:hAnsi="Calibri Light" w:eastAsia="宋体" w:cs="黑体"/>
      <w:b/>
      <w:bCs/>
      <w:kern w:val="2"/>
      <w:sz w:val="32"/>
      <w:szCs w:val="32"/>
    </w:rPr>
  </w:style>
  <w:style w:type="character" w:customStyle="1" w:styleId="22">
    <w:name w:val="未处理的提及2"/>
    <w:basedOn w:val="11"/>
    <w:unhideWhenUsed/>
    <w:qFormat/>
    <w:uiPriority w:val="99"/>
    <w:rPr>
      <w:color w:val="605E5C"/>
      <w:shd w:val="clear" w:color="auto" w:fill="E1DFDD"/>
    </w:rPr>
  </w:style>
  <w:style w:type="character" w:customStyle="1" w:styleId="23">
    <w:name w:val="标题 2 Char"/>
    <w:basedOn w:val="11"/>
    <w:link w:val="5"/>
    <w:semiHidden/>
    <w:qFormat/>
    <w:uiPriority w:val="0"/>
    <w:rPr>
      <w:rFonts w:ascii="Calibri Light" w:hAnsi="Calibri Light" w:eastAsia="宋体" w:cs="黑体"/>
      <w:b/>
      <w:bCs/>
      <w:kern w:val="2"/>
      <w:sz w:val="32"/>
      <w:szCs w:val="32"/>
    </w:rPr>
  </w:style>
  <w:style w:type="paragraph" w:customStyle="1" w:styleId="24">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CQAJJ</Company>
  <Pages>10</Pages>
  <Words>660</Words>
  <Characters>3768</Characters>
  <Lines>31</Lines>
  <Paragraphs>8</Paragraphs>
  <TotalTime>37</TotalTime>
  <ScaleCrop>false</ScaleCrop>
  <LinksUpToDate>false</LinksUpToDate>
  <CharactersWithSpaces>4420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2020-01-17T02:55:00Z</dcterms:created>
  <dc:creator>CQAJ</dc:creator>
  <cp:lastModifiedBy>杨少冬</cp:lastModifiedBy>
  <cp:lastPrinted>2022-02-07T08:30:00Z</cp:lastPrinted>
  <dcterms:modified xsi:type="dcterms:W3CDTF">2023-03-23T07:01:37Z</dcterms:modified>
  <dc:title>巴南安办〔2020〕号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