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center"/>
        <w:textAlignment w:val="auto"/>
        <w:outlineLvl w:val="9"/>
        <w:rPr>
          <w:sz w:val="44"/>
          <w:szCs w:val="44"/>
        </w:rPr>
      </w:pPr>
      <w:r>
        <w:rPr>
          <w:rFonts w:ascii="方正小标宋_GBK" w:hAnsi="方正小标宋_GBK" w:eastAsia="方正小标宋_GBK" w:cs="方正小标宋_GBK"/>
          <w:color w:val="000000"/>
          <w:sz w:val="44"/>
          <w:szCs w:val="44"/>
        </w:rPr>
        <w:t>重庆市巴南区应急管理局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jc w:val="center"/>
        <w:textAlignment w:val="auto"/>
        <w:outlineLvl w:val="9"/>
        <w:rPr>
          <w:sz w:val="44"/>
          <w:szCs w:val="44"/>
        </w:rPr>
      </w:pPr>
      <w:r>
        <w:rPr>
          <w:rFonts w:hint="eastAsia" w:ascii="方正小标宋_GBK" w:hAnsi="方正小标宋_GBK" w:eastAsia="方正小标宋_GBK" w:cs="方正小标宋_GBK"/>
          <w:color w:val="000000"/>
          <w:sz w:val="44"/>
          <w:szCs w:val="44"/>
        </w:rPr>
        <w:t>关于</w:t>
      </w:r>
      <w:r>
        <w:rPr>
          <w:rFonts w:hint="eastAsia" w:ascii="Times New Roman" w:hAnsi="Times New Roman" w:eastAsia="方正仿宋_GBK" w:cs="Times New Roman"/>
          <w:color w:val="000000"/>
          <w:sz w:val="44"/>
          <w:szCs w:val="44"/>
          <w:lang w:val="en-US" w:eastAsia="zh-CN"/>
        </w:rPr>
        <w:t>2023</w:t>
      </w:r>
      <w:r>
        <w:rPr>
          <w:rFonts w:hint="eastAsia" w:ascii="方正小标宋_GBK" w:hAnsi="方正小标宋_GBK" w:eastAsia="方正小标宋_GBK" w:cs="方正小标宋_GBK"/>
          <w:color w:val="000000"/>
          <w:sz w:val="44"/>
          <w:szCs w:val="44"/>
        </w:rPr>
        <w:t>年法治政府建设情况的报告</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555"/>
        <w:jc w:val="center"/>
        <w:textAlignment w:val="auto"/>
        <w:outlineLvl w:val="9"/>
      </w:pPr>
      <w:r>
        <w:rPr>
          <w:rFonts w:hint="eastAsia" w:ascii="宋体" w:hAnsi="宋体" w:eastAsia="宋体" w:cs="宋体"/>
          <w:color w:val="000000"/>
          <w:sz w:val="28"/>
          <w:szCs w:val="28"/>
        </w:rPr>
        <w:t> </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2023年，重庆市巴南区应急管理局严格按照《2023年全区法治政府建设工作要点》目标任务扎实推进，现将2023年基本情况报告如下：</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sz w:val="32"/>
          <w:szCs w:val="32"/>
        </w:rPr>
        <w:t>一、主要举措和成效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pacing w:val="0"/>
          <w:sz w:val="32"/>
          <w:szCs w:val="32"/>
        </w:rPr>
        <w:t>（一）纵深推进“互联网+执法”，数字化赋能应急管理</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一是深化培训保质量。及时组织全局61名行政执法人员的执法证件换证；组织5名新进执法人员的应急管理岗前培训；组织全体执法人员参加国家及重庆应急网络干部学院基本业务素质培训，人均培训学时130学时；组织各镇街分管领导履职能力提升专题培训班及应急办主任履职能力提升专题培训班，累计培训人次103人。组织为期2天的全区防范化解安全生产和自然灾害防治领域风险培训班。来自区级有关部门、各镇街、区属平台公司的100余名应急管理干部参加培训，邀请市局和区级各行业领域专家对安全生产法律法规、行政执法、安全生产执法规范和自由裁量和自然灾害防治等内容进行授课。高标准组织参加市应急局“周五大讲堂”，每次课程扩大至镇街应急办及相关业务部门，今年以来累计参加周五应急大讲堂人数达1200人次。</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64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二是数字赋能促规范。我区积极推广使用“互联网+执法”系统全面落地规范化执法，截至</w:t>
      </w:r>
      <w:r>
        <w:rPr>
          <w:rFonts w:hint="eastAsia" w:ascii="Times New Roman" w:hAnsi="Times New Roman" w:eastAsia="方正仿宋_GBK" w:cs="Times New Roman"/>
          <w:color w:val="000000"/>
          <w:sz w:val="32"/>
          <w:szCs w:val="32"/>
          <w:lang w:val="en-US" w:eastAsia="zh-CN"/>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000000"/>
          <w:sz w:val="32"/>
          <w:szCs w:val="32"/>
          <w:lang w:val="en-US" w:eastAsia="zh-CN"/>
        </w:rPr>
        <w:t>31</w:t>
      </w:r>
      <w:r>
        <w:rPr>
          <w:rFonts w:hint="eastAsia" w:ascii="方正仿宋_GBK" w:hAnsi="方正仿宋_GBK" w:eastAsia="方正仿宋_GBK" w:cs="方正仿宋_GBK"/>
          <w:sz w:val="32"/>
          <w:szCs w:val="32"/>
        </w:rPr>
        <w:t>日，巴南区归集入库具有执法资格的人员</w:t>
      </w:r>
      <w:r>
        <w:rPr>
          <w:rFonts w:hint="eastAsia" w:ascii="Times New Roman" w:hAnsi="Times New Roman" w:eastAsia="方正仿宋_GBK" w:cs="Times New Roman"/>
          <w:color w:val="000000"/>
          <w:sz w:val="32"/>
          <w:szCs w:val="32"/>
          <w:lang w:val="en-US" w:eastAsia="zh-CN"/>
        </w:rPr>
        <w:t>131</w:t>
      </w:r>
      <w:r>
        <w:rPr>
          <w:rFonts w:hint="eastAsia" w:ascii="方正仿宋_GBK" w:hAnsi="方正仿宋_GBK" w:eastAsia="方正仿宋_GBK" w:cs="方正仿宋_GBK"/>
          <w:sz w:val="32"/>
          <w:szCs w:val="32"/>
        </w:rPr>
        <w:t>名、监管企业</w:t>
      </w:r>
      <w:r>
        <w:rPr>
          <w:rFonts w:hint="eastAsia" w:ascii="Times New Roman" w:hAnsi="Times New Roman" w:eastAsia="方正仿宋_GBK" w:cs="Times New Roman"/>
          <w:color w:val="000000"/>
          <w:sz w:val="32"/>
          <w:szCs w:val="32"/>
          <w:lang w:val="en-US" w:eastAsia="zh-CN"/>
        </w:rPr>
        <w:t>1410</w:t>
      </w:r>
      <w:r>
        <w:rPr>
          <w:rFonts w:hint="eastAsia" w:ascii="方正仿宋_GBK" w:hAnsi="方正仿宋_GBK" w:eastAsia="方正仿宋_GBK" w:cs="方正仿宋_GBK"/>
          <w:sz w:val="32"/>
          <w:szCs w:val="32"/>
        </w:rPr>
        <w:t>家，归集率达</w:t>
      </w:r>
      <w:r>
        <w:rPr>
          <w:rFonts w:hint="eastAsia" w:ascii="Times New Roman" w:hAnsi="Times New Roman" w:eastAsia="方正仿宋_GBK" w:cs="Times New Roman"/>
          <w:color w:val="000000"/>
          <w:sz w:val="32"/>
          <w:szCs w:val="32"/>
          <w:lang w:val="en-US" w:eastAsia="zh-CN"/>
        </w:rPr>
        <w:t>100%</w:t>
      </w:r>
      <w:r>
        <w:rPr>
          <w:rFonts w:hint="eastAsia" w:ascii="方正仿宋_GBK" w:hAnsi="方正仿宋_GBK" w:eastAsia="方正仿宋_GBK" w:cs="方正仿宋_GBK"/>
          <w:sz w:val="32"/>
          <w:szCs w:val="32"/>
        </w:rPr>
        <w:t>。全年累计执法人员</w:t>
      </w:r>
      <w:r>
        <w:rPr>
          <w:rFonts w:hint="eastAsia" w:ascii="Times New Roman" w:hAnsi="Times New Roman" w:eastAsia="方正仿宋_GBK" w:cs="Times New Roman"/>
          <w:color w:val="000000"/>
          <w:sz w:val="32"/>
          <w:szCs w:val="32"/>
          <w:lang w:val="en-US" w:eastAsia="zh-CN"/>
        </w:rPr>
        <w:t>307</w:t>
      </w:r>
      <w:r>
        <w:rPr>
          <w:rFonts w:hint="eastAsia" w:ascii="方正仿宋_GBK" w:hAnsi="方正仿宋_GBK" w:eastAsia="方正仿宋_GBK" w:cs="方正仿宋_GBK"/>
          <w:sz w:val="32"/>
          <w:szCs w:val="32"/>
        </w:rPr>
        <w:t>人，检查</w:t>
      </w:r>
      <w:r>
        <w:rPr>
          <w:rFonts w:hint="eastAsia" w:ascii="Times New Roman" w:hAnsi="Times New Roman" w:eastAsia="方正仿宋_GBK" w:cs="Times New Roman"/>
          <w:color w:val="000000"/>
          <w:sz w:val="32"/>
          <w:szCs w:val="32"/>
          <w:lang w:val="en-US" w:eastAsia="zh-CN"/>
        </w:rPr>
        <w:t>1519</w:t>
      </w:r>
      <w:r>
        <w:rPr>
          <w:rFonts w:hint="eastAsia" w:ascii="方正仿宋_GBK" w:hAnsi="方正仿宋_GBK" w:eastAsia="方正仿宋_GBK" w:cs="方正仿宋_GBK"/>
          <w:sz w:val="32"/>
          <w:szCs w:val="32"/>
        </w:rPr>
        <w:t>家次，其中非煤矿山</w:t>
      </w:r>
      <w:r>
        <w:rPr>
          <w:rFonts w:hint="eastAsia" w:ascii="Times New Roman" w:hAnsi="Times New Roman" w:eastAsia="方正仿宋_GBK" w:cs="Times New Roman"/>
          <w:color w:val="000000"/>
          <w:sz w:val="32"/>
          <w:szCs w:val="32"/>
          <w:lang w:val="en-US" w:eastAsia="zh-CN"/>
        </w:rPr>
        <w:t>223</w:t>
      </w:r>
      <w:r>
        <w:rPr>
          <w:rFonts w:hint="eastAsia" w:ascii="方正仿宋_GBK" w:hAnsi="方正仿宋_GBK" w:eastAsia="方正仿宋_GBK" w:cs="方正仿宋_GBK"/>
          <w:sz w:val="32"/>
          <w:szCs w:val="32"/>
        </w:rPr>
        <w:t>次，危险化学品</w:t>
      </w:r>
      <w:r>
        <w:rPr>
          <w:rFonts w:hint="eastAsia" w:ascii="Times New Roman" w:hAnsi="Times New Roman" w:eastAsia="方正仿宋_GBK" w:cs="Times New Roman"/>
          <w:color w:val="000000"/>
          <w:sz w:val="32"/>
          <w:szCs w:val="32"/>
          <w:lang w:val="en-US" w:eastAsia="zh-CN"/>
        </w:rPr>
        <w:t>256</w:t>
      </w:r>
      <w:r>
        <w:rPr>
          <w:rFonts w:hint="eastAsia" w:ascii="方正仿宋_GBK" w:hAnsi="方正仿宋_GBK" w:eastAsia="方正仿宋_GBK" w:cs="方正仿宋_GBK"/>
          <w:sz w:val="32"/>
          <w:szCs w:val="32"/>
        </w:rPr>
        <w:t>次，烟花爆竹</w:t>
      </w:r>
      <w:r>
        <w:rPr>
          <w:rFonts w:hint="eastAsia" w:ascii="Times New Roman" w:hAnsi="Times New Roman" w:eastAsia="方正仿宋_GBK" w:cs="Times New Roman"/>
          <w:color w:val="000000"/>
          <w:sz w:val="32"/>
          <w:szCs w:val="32"/>
          <w:lang w:val="en-US" w:eastAsia="zh-CN"/>
        </w:rPr>
        <w:t>145</w:t>
      </w:r>
      <w:r>
        <w:rPr>
          <w:rFonts w:hint="eastAsia" w:ascii="方正仿宋_GBK" w:hAnsi="方正仿宋_GBK" w:eastAsia="方正仿宋_GBK" w:cs="方正仿宋_GBK"/>
          <w:sz w:val="32"/>
          <w:szCs w:val="32"/>
        </w:rPr>
        <w:t>次，工贸行业</w:t>
      </w:r>
      <w:r>
        <w:rPr>
          <w:rFonts w:hint="eastAsia" w:ascii="Times New Roman" w:hAnsi="Times New Roman" w:eastAsia="方正仿宋_GBK" w:cs="Times New Roman"/>
          <w:color w:val="000000"/>
          <w:sz w:val="32"/>
          <w:szCs w:val="32"/>
          <w:lang w:val="en-US" w:eastAsia="zh-CN"/>
        </w:rPr>
        <w:t>728</w:t>
      </w:r>
      <w:r>
        <w:rPr>
          <w:rFonts w:hint="eastAsia" w:ascii="方正仿宋_GBK" w:hAnsi="方正仿宋_GBK" w:eastAsia="方正仿宋_GBK" w:cs="方正仿宋_GBK"/>
          <w:sz w:val="32"/>
          <w:szCs w:val="32"/>
        </w:rPr>
        <w:t>次，其他</w:t>
      </w:r>
      <w:r>
        <w:rPr>
          <w:rFonts w:hint="eastAsia" w:ascii="Times New Roman" w:hAnsi="Times New Roman" w:eastAsia="方正仿宋_GBK" w:cs="Times New Roman"/>
          <w:color w:val="000000"/>
          <w:sz w:val="32"/>
          <w:szCs w:val="32"/>
          <w:lang w:val="en-US" w:eastAsia="zh-CN"/>
        </w:rPr>
        <w:t>167</w:t>
      </w:r>
      <w:r>
        <w:rPr>
          <w:rFonts w:hint="eastAsia" w:ascii="方正仿宋_GBK" w:hAnsi="方正仿宋_GBK" w:eastAsia="方正仿宋_GBK" w:cs="方正仿宋_GBK"/>
          <w:sz w:val="32"/>
          <w:szCs w:val="32"/>
        </w:rPr>
        <w:t>次。累计开具文书</w:t>
      </w:r>
      <w:r>
        <w:rPr>
          <w:rFonts w:hint="eastAsia" w:ascii="Times New Roman" w:hAnsi="Times New Roman" w:eastAsia="方正仿宋_GBK" w:cs="Times New Roman"/>
          <w:color w:val="000000"/>
          <w:sz w:val="32"/>
          <w:szCs w:val="32"/>
          <w:lang w:val="en-US" w:eastAsia="zh-CN"/>
        </w:rPr>
        <w:t>6242</w:t>
      </w:r>
      <w:r>
        <w:rPr>
          <w:rFonts w:hint="eastAsia" w:ascii="方正仿宋_GBK" w:hAnsi="方正仿宋_GBK" w:eastAsia="方正仿宋_GBK" w:cs="方正仿宋_GBK"/>
          <w:sz w:val="32"/>
          <w:szCs w:val="32"/>
        </w:rPr>
        <w:t>份，检查发现隐患项</w:t>
      </w:r>
      <w:r>
        <w:rPr>
          <w:rFonts w:hint="eastAsia" w:ascii="Times New Roman" w:hAnsi="Times New Roman" w:eastAsia="方正仿宋_GBK" w:cs="Times New Roman"/>
          <w:color w:val="000000"/>
          <w:sz w:val="32"/>
          <w:szCs w:val="32"/>
          <w:lang w:val="en-US" w:eastAsia="zh-CN"/>
        </w:rPr>
        <w:t>5785</w:t>
      </w:r>
      <w:r>
        <w:rPr>
          <w:rFonts w:hint="eastAsia" w:ascii="方正仿宋_GBK" w:hAnsi="方正仿宋_GBK" w:eastAsia="方正仿宋_GBK" w:cs="方正仿宋_GBK"/>
          <w:sz w:val="32"/>
          <w:szCs w:val="32"/>
        </w:rPr>
        <w:t>项，已整改</w:t>
      </w:r>
      <w:r>
        <w:rPr>
          <w:rFonts w:hint="eastAsia" w:ascii="Times New Roman" w:hAnsi="Times New Roman" w:eastAsia="方正仿宋_GBK" w:cs="Times New Roman"/>
          <w:color w:val="000000"/>
          <w:sz w:val="32"/>
          <w:szCs w:val="32"/>
          <w:lang w:val="en-US" w:eastAsia="zh-CN"/>
        </w:rPr>
        <w:t>5767</w:t>
      </w:r>
      <w:r>
        <w:rPr>
          <w:rFonts w:hint="eastAsia" w:ascii="方正仿宋_GBK" w:hAnsi="方正仿宋_GBK" w:eastAsia="方正仿宋_GBK" w:cs="方正仿宋_GBK"/>
          <w:sz w:val="32"/>
          <w:szCs w:val="32"/>
        </w:rPr>
        <w:t>项隐患，整改率达</w:t>
      </w:r>
      <w:r>
        <w:rPr>
          <w:rFonts w:hint="eastAsia" w:ascii="Times New Roman" w:hAnsi="Times New Roman" w:eastAsia="方正仿宋_GBK" w:cs="Times New Roman"/>
          <w:color w:val="000000"/>
          <w:sz w:val="32"/>
          <w:szCs w:val="32"/>
          <w:lang w:val="en-US" w:eastAsia="zh-CN"/>
        </w:rPr>
        <w:t>99.7%</w:t>
      </w:r>
      <w:r>
        <w:rPr>
          <w:rFonts w:hint="eastAsia" w:ascii="方正仿宋_GBK" w:hAnsi="方正仿宋_GBK" w:eastAsia="方正仿宋_GBK" w:cs="方正仿宋_GBK"/>
          <w:sz w:val="32"/>
          <w:szCs w:val="32"/>
        </w:rPr>
        <w:t>。累计行政处罚</w:t>
      </w:r>
      <w:r>
        <w:rPr>
          <w:rFonts w:hint="eastAsia" w:ascii="Times New Roman" w:hAnsi="Times New Roman" w:eastAsia="方正仿宋_GBK" w:cs="Times New Roman"/>
          <w:color w:val="000000"/>
          <w:sz w:val="32"/>
          <w:szCs w:val="32"/>
          <w:lang w:val="en-US" w:eastAsia="zh-CN"/>
        </w:rPr>
        <w:t>195</w:t>
      </w:r>
      <w:r>
        <w:rPr>
          <w:rFonts w:hint="eastAsia" w:ascii="方正仿宋_GBK" w:hAnsi="方正仿宋_GBK" w:eastAsia="方正仿宋_GBK" w:cs="方正仿宋_GBK"/>
          <w:sz w:val="32"/>
          <w:szCs w:val="32"/>
        </w:rPr>
        <w:t>次，行政处罚罚款</w:t>
      </w:r>
      <w:r>
        <w:rPr>
          <w:rFonts w:hint="eastAsia" w:ascii="Times New Roman" w:hAnsi="Times New Roman" w:eastAsia="方正仿宋_GBK" w:cs="Times New Roman"/>
          <w:color w:val="000000"/>
          <w:sz w:val="32"/>
          <w:szCs w:val="32"/>
          <w:lang w:val="en-US" w:eastAsia="zh-CN"/>
        </w:rPr>
        <w:t>700</w:t>
      </w:r>
      <w:r>
        <w:rPr>
          <w:rFonts w:hint="eastAsia" w:ascii="方正仿宋_GBK" w:hAnsi="方正仿宋_GBK" w:eastAsia="方正仿宋_GBK" w:cs="方正仿宋_GBK"/>
          <w:sz w:val="32"/>
          <w:szCs w:val="32"/>
        </w:rPr>
        <w:t>余万元。积极开展打非治违工作，调查处理非法储存危险化学品案</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sz w:val="32"/>
          <w:szCs w:val="32"/>
        </w:rPr>
        <w:t>起，查获气瓶</w:t>
      </w:r>
      <w:r>
        <w:rPr>
          <w:rFonts w:hint="eastAsia" w:ascii="Times New Roman" w:hAnsi="Times New Roman" w:eastAsia="方正仿宋_GBK" w:cs="Times New Roman"/>
          <w:color w:val="000000"/>
          <w:sz w:val="32"/>
          <w:szCs w:val="32"/>
          <w:lang w:val="en-US" w:eastAsia="zh-CN"/>
        </w:rPr>
        <w:t>480</w:t>
      </w:r>
      <w:r>
        <w:rPr>
          <w:rFonts w:hint="eastAsia" w:ascii="方正仿宋_GBK" w:hAnsi="方正仿宋_GBK" w:eastAsia="方正仿宋_GBK" w:cs="方正仿宋_GBK"/>
          <w:sz w:val="32"/>
          <w:szCs w:val="32"/>
        </w:rPr>
        <w:t>个，罚款</w:t>
      </w:r>
      <w:r>
        <w:rPr>
          <w:rFonts w:hint="eastAsia" w:ascii="Times New Roman" w:hAnsi="Times New Roman" w:eastAsia="方正仿宋_GBK" w:cs="Times New Roman"/>
          <w:color w:val="000000"/>
          <w:sz w:val="32"/>
          <w:szCs w:val="32"/>
          <w:lang w:val="en-US" w:eastAsia="zh-CN"/>
        </w:rPr>
        <w:t>37</w:t>
      </w:r>
      <w:r>
        <w:rPr>
          <w:rFonts w:hint="eastAsia" w:ascii="方正仿宋_GBK" w:hAnsi="方正仿宋_GBK" w:eastAsia="方正仿宋_GBK" w:cs="方正仿宋_GBK"/>
          <w:sz w:val="32"/>
          <w:szCs w:val="32"/>
        </w:rPr>
        <w:t>万元；调查处理非法储存烟花爆竹案件</w:t>
      </w:r>
      <w:r>
        <w:rPr>
          <w:rFonts w:hint="eastAsia" w:ascii="Times New Roman" w:hAnsi="Times New Roman" w:eastAsia="方正仿宋_GBK" w:cs="Times New Roman"/>
          <w:color w:val="000000"/>
          <w:sz w:val="32"/>
          <w:szCs w:val="32"/>
          <w:lang w:val="en-US" w:eastAsia="zh-CN"/>
        </w:rPr>
        <w:t>8</w:t>
      </w:r>
      <w:r>
        <w:rPr>
          <w:rFonts w:hint="eastAsia" w:ascii="方正仿宋_GBK" w:hAnsi="方正仿宋_GBK" w:eastAsia="方正仿宋_GBK" w:cs="方正仿宋_GBK"/>
          <w:sz w:val="32"/>
          <w:szCs w:val="32"/>
        </w:rPr>
        <w:t>起，查获烟花爆竹</w:t>
      </w:r>
      <w:r>
        <w:rPr>
          <w:rFonts w:hint="eastAsia" w:ascii="Times New Roman" w:hAnsi="Times New Roman" w:eastAsia="方正仿宋_GBK" w:cs="Times New Roman"/>
          <w:color w:val="000000"/>
          <w:sz w:val="32"/>
          <w:szCs w:val="32"/>
          <w:lang w:val="en-US" w:eastAsia="zh-CN"/>
        </w:rPr>
        <w:t>1572</w:t>
      </w:r>
      <w:r>
        <w:rPr>
          <w:rFonts w:hint="eastAsia" w:ascii="方正仿宋_GBK" w:hAnsi="方正仿宋_GBK" w:eastAsia="方正仿宋_GBK" w:cs="方正仿宋_GBK"/>
          <w:sz w:val="32"/>
          <w:szCs w:val="32"/>
        </w:rPr>
        <w:t>件；核实处理投诉举报</w:t>
      </w:r>
      <w:r>
        <w:rPr>
          <w:rFonts w:hint="eastAsia" w:ascii="Times New Roman" w:hAnsi="Times New Roman" w:eastAsia="方正仿宋_GBK" w:cs="Times New Roman"/>
          <w:color w:val="000000"/>
          <w:sz w:val="32"/>
          <w:szCs w:val="32"/>
          <w:lang w:val="en-US" w:eastAsia="zh-CN"/>
        </w:rPr>
        <w:t>9</w:t>
      </w:r>
      <w:r>
        <w:rPr>
          <w:rFonts w:hint="eastAsia" w:ascii="方正仿宋_GBK" w:hAnsi="方正仿宋_GBK" w:eastAsia="方正仿宋_GBK" w:cs="方正仿宋_GBK"/>
          <w:sz w:val="32"/>
          <w:szCs w:val="32"/>
        </w:rPr>
        <w:t>起，发放举报奖励</w:t>
      </w:r>
      <w:r>
        <w:rPr>
          <w:rFonts w:hint="eastAsia" w:ascii="Times New Roman" w:hAnsi="Times New Roman" w:eastAsia="方正仿宋_GBK" w:cs="Times New Roman"/>
          <w:color w:val="000000"/>
          <w:sz w:val="32"/>
          <w:szCs w:val="32"/>
          <w:lang w:val="en-US" w:eastAsia="zh-CN"/>
        </w:rPr>
        <w:t>5000</w:t>
      </w:r>
      <w:r>
        <w:rPr>
          <w:rFonts w:hint="eastAsia" w:ascii="方正仿宋_GBK" w:hAnsi="方正仿宋_GBK" w:eastAsia="方正仿宋_GBK" w:cs="方正仿宋_GBK"/>
          <w:sz w:val="32"/>
          <w:szCs w:val="32"/>
        </w:rPr>
        <w:t>元。巴南区应急执法代表重庆市迎接应急管理部带队专项调研学习“互联网+执法”工作两次，执法工作经验和举措得到了</w:t>
      </w:r>
      <w:r>
        <w:rPr>
          <w:rFonts w:hint="eastAsia" w:ascii="方正仿宋_GBK" w:hAnsi="方正仿宋_GBK" w:eastAsia="方正仿宋_GBK" w:cs="方正仿宋_GBK"/>
          <w:sz w:val="32"/>
          <w:szCs w:val="32"/>
          <w:lang w:val="en-US" w:eastAsia="zh-CN"/>
        </w:rPr>
        <w:t>应急</w:t>
      </w:r>
      <w:r>
        <w:rPr>
          <w:rFonts w:hint="eastAsia" w:ascii="方正仿宋_GBK" w:hAnsi="方正仿宋_GBK" w:eastAsia="方正仿宋_GBK" w:cs="方正仿宋_GBK"/>
          <w:sz w:val="32"/>
          <w:szCs w:val="32"/>
        </w:rPr>
        <w:t>部</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认可。</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pacing w:val="0"/>
          <w:sz w:val="32"/>
          <w:szCs w:val="32"/>
        </w:rPr>
        <w:t>（二）多措并举促落实，深化综合执法改革</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统筹配置行政执法职能和执法资源，最大限度减少不必要的行政执法事项。整合行政执法队伍，探索实行跨领域跨部门综合执法。</w:t>
      </w:r>
      <w:r>
        <w:rPr>
          <w:rFonts w:hint="eastAsia" w:ascii="Times New Roman" w:hAnsi="Times New Roman" w:eastAsia="方正仿宋_GBK" w:cs="Times New Roman"/>
          <w:color w:val="000000"/>
          <w:sz w:val="32"/>
          <w:szCs w:val="32"/>
          <w:lang w:val="en-US" w:eastAsia="zh-CN"/>
        </w:rPr>
        <w:t>2019</w:t>
      </w:r>
      <w:r>
        <w:rPr>
          <w:rFonts w:hint="eastAsia" w:ascii="方正仿宋_GBK" w:hAnsi="方正仿宋_GBK" w:eastAsia="方正仿宋_GBK" w:cs="方正仿宋_GBK"/>
          <w:sz w:val="32"/>
          <w:szCs w:val="32"/>
        </w:rPr>
        <w:t>年机构改革后，按照区委办、区政府办关于印发《重庆市巴南区应急管理局职能配置、内设机构和人员编制规定的通知》（巴南委办发</w:t>
      </w:r>
      <w:r>
        <w:rPr>
          <w:rFonts w:hint="eastAsia" w:ascii="Times New Roman" w:hAnsi="Times New Roman" w:eastAsia="方正仿宋_GBK" w:cs="Times New Roman"/>
          <w:color w:val="000000"/>
          <w:sz w:val="32"/>
          <w:szCs w:val="32"/>
          <w:lang w:val="en-US" w:eastAsia="zh-CN"/>
        </w:rPr>
        <w:t>〔2019〕46</w:t>
      </w:r>
      <w:r>
        <w:rPr>
          <w:rFonts w:hint="eastAsia" w:ascii="方正仿宋_GBK" w:hAnsi="方正仿宋_GBK" w:eastAsia="方正仿宋_GBK" w:cs="方正仿宋_GBK"/>
          <w:sz w:val="32"/>
          <w:szCs w:val="32"/>
        </w:rPr>
        <w:t>号）文件，区应急局内设政策法规科，负责推进依法行政全面工作。按照区委编委《关于调整区应急局下属事业单位机构编制事项的通知》（巴南委编委发</w:t>
      </w:r>
      <w:r>
        <w:rPr>
          <w:rFonts w:hint="eastAsia" w:ascii="Times New Roman" w:hAnsi="Times New Roman" w:eastAsia="方正仿宋_GBK" w:cs="Times New Roman"/>
          <w:color w:val="000000"/>
          <w:sz w:val="32"/>
          <w:szCs w:val="32"/>
          <w:lang w:val="en-US" w:eastAsia="zh-CN"/>
        </w:rPr>
        <w:t>〔2019〕87</w:t>
      </w:r>
      <w:r>
        <w:rPr>
          <w:rFonts w:hint="eastAsia" w:ascii="方正仿宋_GBK" w:hAnsi="方正仿宋_GBK" w:eastAsia="方正仿宋_GBK" w:cs="方正仿宋_GBK"/>
          <w:sz w:val="32"/>
          <w:szCs w:val="32"/>
        </w:rPr>
        <w:t>号的通知）文件，区安全生产行政执法支队具体行使区应急局机关及所属事业单位承担的行政执法职责，明确了专门的执法机构。同时，</w:t>
      </w:r>
      <w:r>
        <w:rPr>
          <w:rFonts w:hint="eastAsia" w:ascii="方正仿宋_GBK" w:hAnsi="方正仿宋_GBK" w:eastAsia="方正仿宋_GBK" w:cs="方正仿宋_GBK"/>
          <w:color w:val="000000"/>
          <w:sz w:val="32"/>
          <w:szCs w:val="32"/>
        </w:rPr>
        <w:t>通过印发《巴南区深化应急管理综合行政执法改革方案》，</w:t>
      </w:r>
      <w:r>
        <w:rPr>
          <w:rFonts w:hint="eastAsia" w:ascii="方正仿宋_GBK" w:hAnsi="方正仿宋_GBK" w:eastAsia="方正仿宋_GBK" w:cs="方正仿宋_GBK"/>
          <w:sz w:val="32"/>
          <w:szCs w:val="32"/>
        </w:rPr>
        <w:t>优化精简执法队伍，</w:t>
      </w:r>
      <w:r>
        <w:rPr>
          <w:rFonts w:hint="eastAsia" w:ascii="方正仿宋_GBK" w:hAnsi="方正仿宋_GBK" w:eastAsia="方正仿宋_GBK" w:cs="方正仿宋_GBK"/>
          <w:color w:val="000000"/>
          <w:sz w:val="32"/>
          <w:szCs w:val="32"/>
        </w:rPr>
        <w:t>明确业务科室和执法支队职能职责；通过建立《应急管理综合行政执法协调联动工作机制》《重庆市巴南区应急管理分类分级执法机制》等多种机制，积极助推“审批、检查、执法分离”全面改革。</w:t>
      </w:r>
      <w:r>
        <w:rPr>
          <w:rFonts w:hint="eastAsia" w:ascii="方正仿宋_GBK" w:hAnsi="方正仿宋_GBK" w:eastAsia="方正仿宋_GBK" w:cs="方正仿宋_GBK"/>
          <w:sz w:val="32"/>
          <w:szCs w:val="32"/>
        </w:rPr>
        <w:t>建立“主要领导总牵头、班子成员分片包干、业务科室带头干”的工作机制，在全区范围内精准分级、分类“小灶”执法培训，为全区镇街配齐执法装备，多措并举保障应急系统执法改革。</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pacing w:val="0"/>
          <w:sz w:val="32"/>
          <w:szCs w:val="32"/>
        </w:rPr>
        <w:t>（三）强化执法监督，全年实现复议应诉“双零”</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是严格案件审核把关。健全重大行政决策各项规章制度，做到所有行政处罚案件均要经过法律审核，重大行政处罚决定均要经过集体讨论决定，严格按照法律程序组织调查、取证、立案，按时限结案，坚决做到处罚依据充分、程序合法、决定适当。二是持续推进“双随机、一公开”监管机制。编制《区应急局安全生产年度检查执法计划》，科学建立“两库、一单、一细则、一方案”并抓好落实，通过“双随机、一公开”行政执法工作机制，全面推进阳光执法，杜绝任性执法。截至目前，全年实现行政复议和行政诉讼</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pacing w:val="0"/>
          <w:sz w:val="32"/>
          <w:szCs w:val="32"/>
        </w:rPr>
        <w:t>双零”</w:t>
      </w:r>
      <w:r>
        <w:rPr>
          <w:rFonts w:hint="eastAsia" w:ascii="方正仿宋_GBK" w:hAnsi="方正仿宋_GBK" w:eastAsia="方正仿宋_GBK" w:cs="方正仿宋_GBK"/>
          <w:color w:val="000000"/>
          <w:sz w:val="32"/>
          <w:szCs w:val="32"/>
        </w:rPr>
        <w:t>的目标。</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sz w:val="32"/>
          <w:szCs w:val="32"/>
        </w:rPr>
        <w:t>二、主要负责人履职情况</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负责人牵头在应急系统深入开展尊崇宪法、学习宪法、遵守宪法、维护宪法、运用宪法的宪法学习宣传教育活动，普及宪法知识，弘扬宪法精神。把宪法法律学习列为局党委理论学习中心组学习的重要内容，纳入全区应急管理人员培训教育体系。</w:t>
      </w:r>
      <w:r>
        <w:rPr>
          <w:rFonts w:hint="eastAsia" w:ascii="方正仿宋_GBK" w:hAnsi="方正仿宋_GBK" w:eastAsia="方正仿宋_GBK" w:cs="方正仿宋_GBK"/>
          <w:color w:val="000000"/>
          <w:sz w:val="32"/>
          <w:szCs w:val="32"/>
        </w:rPr>
        <w:t>推动“</w:t>
      </w:r>
      <w:r>
        <w:rPr>
          <w:rFonts w:hint="eastAsia" w:ascii="Times New Roman" w:hAnsi="Times New Roman" w:eastAsia="方正仿宋_GBK" w:cs="Times New Roman"/>
          <w:color w:val="000000"/>
          <w:sz w:val="32"/>
          <w:szCs w:val="32"/>
          <w:lang w:val="en-US" w:eastAsia="zh-CN"/>
        </w:rPr>
        <w:t>12·4</w:t>
      </w:r>
      <w:r>
        <w:rPr>
          <w:rFonts w:hint="eastAsia" w:ascii="方正仿宋_GBK" w:hAnsi="方正仿宋_GBK" w:eastAsia="方正仿宋_GBK" w:cs="方正仿宋_GBK"/>
          <w:color w:val="000000"/>
          <w:sz w:val="32"/>
          <w:szCs w:val="32"/>
        </w:rPr>
        <w:t>”国家宪法日和“宪法宣传周”集中宣传活动制度化，实现宪法宣传教育常态化。亲自把关</w:t>
      </w:r>
      <w:r>
        <w:rPr>
          <w:rFonts w:hint="eastAsia" w:ascii="方正仿宋_GBK" w:hAnsi="方正仿宋_GBK" w:eastAsia="方正仿宋_GBK" w:cs="方正仿宋_GBK"/>
          <w:sz w:val="32"/>
          <w:szCs w:val="32"/>
        </w:rPr>
        <w:t>对涉及人民群众切身利益的安全生产行政审批、行政许可、安全设施“三同时”项目、安全培训、安全投入、机构设置、抢险救援等方面的重大决策和重大改革措施。按照</w:t>
      </w:r>
      <w:r>
        <w:rPr>
          <w:rFonts w:hint="eastAsia" w:ascii="方正仿宋_GBK" w:hAnsi="方正仿宋_GBK" w:eastAsia="方正仿宋_GBK" w:cs="方正仿宋_GBK"/>
          <w:color w:val="000000"/>
          <w:sz w:val="32"/>
          <w:szCs w:val="32"/>
        </w:rPr>
        <w:t>市委组织部《关于组织参加应急管理网络专题培</w:t>
      </w:r>
      <w:r>
        <w:rPr>
          <w:rFonts w:hint="eastAsia" w:ascii="方正仿宋_GBK" w:hAnsi="方正仿宋_GBK" w:eastAsia="方正仿宋_GBK" w:cs="方正仿宋_GBK"/>
          <w:sz w:val="32"/>
          <w:szCs w:val="32"/>
        </w:rPr>
        <w:t>训的通知》要求，参加为期一个月的党政正职参加应急管理网络培训工作，并撰写培训心得体会。</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pacing w:val="0"/>
          <w:sz w:val="32"/>
          <w:szCs w:val="32"/>
        </w:rPr>
        <w:t>三、存在的不足和原因。</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是“谁执法谁普法”推进力度不足，目前我局只在《中华人民共和国安全生产法》《生产安全事故条例》等直管行业法律法规中进行大量宣传，对《中华人民共和国行政处罚法》《中华人民共和国宪法》等相关法律法规宣传还不够，导致企业和社会安全意识和法律意识还不高，特别是少数企业对行政执法不理解、不支持，对行政处罚抱有抵触情绪，普法宣传教育有待提升。二是安全生产信用建设比较滞后。覆盖全社会相关领域的征信系统尚未形成，社会成员信用记录缺失，守信激励和失信惩戒机制尚不健全，守信激励不足。</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pacing w:val="0"/>
          <w:sz w:val="32"/>
          <w:szCs w:val="32"/>
        </w:rPr>
        <w:t>四、</w:t>
      </w:r>
      <w:r>
        <w:rPr>
          <w:rFonts w:hint="eastAsia" w:ascii="Times New Roman" w:hAnsi="Times New Roman" w:eastAsia="方正仿宋_GBK" w:cs="Times New Roman"/>
          <w:color w:val="000000"/>
          <w:sz w:val="32"/>
          <w:szCs w:val="32"/>
          <w:lang w:val="en-US" w:eastAsia="zh-CN"/>
        </w:rPr>
        <w:t>2024</w:t>
      </w:r>
      <w:r>
        <w:rPr>
          <w:rFonts w:hint="eastAsia" w:ascii="方正黑体_GBK" w:hAnsi="方正黑体_GBK" w:eastAsia="方正黑体_GBK" w:cs="方正黑体_GBK"/>
          <w:color w:val="000000"/>
          <w:sz w:val="32"/>
          <w:szCs w:val="32"/>
          <w:lang w:val="en-US" w:eastAsia="zh-CN"/>
        </w:rPr>
        <w:t>年工作思路</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fill="FFFFFF"/>
        </w:rPr>
        <w:t>一是转变执法理念，坚持严格执法与热情服务相结合的原则，进一步提高依法执法能力，</w:t>
      </w:r>
      <w:r>
        <w:rPr>
          <w:rFonts w:hint="eastAsia" w:ascii="方正仿宋_GBK" w:hAnsi="方正仿宋_GBK" w:eastAsia="方正仿宋_GBK" w:cs="方正仿宋_GBK"/>
          <w:color w:val="000000"/>
          <w:sz w:val="32"/>
          <w:szCs w:val="32"/>
        </w:rPr>
        <w:t>加强对《中华人民共和国行政处罚法》《中华人民共和国宪法》《行政处罚法自由裁量标准》等相关法律法规的学习和宣传，促进全社会民众、企业的普法效果。二是纵向研判安全生产信用体系，健全守信激励和失信惩戒机制，完善安全生产信用机制。横向衔接相关部门，完善相关领域的征信管理。</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pacing w:val="0"/>
          <w:sz w:val="32"/>
          <w:szCs w:val="32"/>
        </w:rPr>
        <w:t>五、其他需要报告的情况。</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sz w:val="32"/>
          <w:szCs w:val="32"/>
        </w:rPr>
        <w:t>无。</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3645"/>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3645"/>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重庆市巴南区应急管理局</w:t>
      </w:r>
    </w:p>
    <w:p>
      <w:pPr>
        <w:pStyle w:val="5"/>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8" w:lineRule="exact"/>
        <w:ind w:left="0" w:right="0" w:rightChars="0" w:firstLine="5595"/>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color w:val="000000"/>
          <w:sz w:val="32"/>
          <w:szCs w:val="32"/>
          <w:lang w:val="en-US" w:eastAsia="zh-CN"/>
        </w:rPr>
        <w:t>7</w:t>
      </w:r>
      <w:bookmarkStart w:id="0" w:name="_GoBack"/>
      <w:bookmarkEnd w:id="0"/>
      <w:r>
        <w:rPr>
          <w:rFonts w:hint="eastAsia" w:ascii="Times New Roman" w:hAnsi="Times New Roman" w:eastAsia="方正仿宋_GBK" w:cs="Times New Roman"/>
          <w:color w:val="000000"/>
          <w:sz w:val="32"/>
          <w:szCs w:val="32"/>
          <w:lang w:val="en-US" w:eastAsia="zh-CN"/>
        </w:rPr>
        <w:t>日</w:t>
      </w:r>
    </w:p>
    <w:p>
      <w:pPr>
        <w:keepNext w:val="0"/>
        <w:keepLines w:val="0"/>
        <w:pageBreakBefore w:val="0"/>
        <w:kinsoku/>
        <w:wordWrap/>
        <w:overflowPunct/>
        <w:topLinePunct w:val="0"/>
        <w:autoSpaceDN/>
        <w:bidi w:val="0"/>
        <w:adjustRightInd/>
        <w:snapToGrid/>
        <w:spacing w:beforeAutospacing="0" w:afterAutospacing="0" w:line="560" w:lineRule="exact"/>
        <w:ind w:right="0" w:rightChars="0"/>
        <w:textAlignment w:val="auto"/>
        <w:outlineLvl w:val="9"/>
        <w:rPr>
          <w:rFonts w:hint="eastAsia"/>
          <w:lang w:val="en-US" w:eastAsia="zh-CN"/>
        </w:rPr>
      </w:pPr>
    </w:p>
    <w:sectPr>
      <w:footerReference r:id="rId3"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A4C30"/>
    <w:rsid w:val="1A7E6373"/>
    <w:rsid w:val="37C54170"/>
    <w:rsid w:val="380A4C30"/>
    <w:rsid w:val="3FBF55E6"/>
    <w:rsid w:val="567F6F65"/>
    <w:rsid w:val="5C6E422B"/>
    <w:rsid w:val="6BABC7AE"/>
    <w:rsid w:val="74C8535A"/>
    <w:rsid w:val="ADA7CC2C"/>
    <w:rsid w:val="FD7F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默认"/>
    <w:qFormat/>
    <w:uiPriority w:val="0"/>
    <w:rPr>
      <w:rFonts w:ascii="Helvetica" w:hAnsi="Helvetica" w:eastAsia="Helvetica" w:cs="Times New Roman"/>
      <w:color w:val="000000"/>
      <w:sz w:val="22"/>
      <w:szCs w:val="22"/>
      <w:lang w:val="en-US" w:eastAsia="zh-CN"/>
    </w:rPr>
  </w:style>
  <w:style w:type="paragraph" w:customStyle="1" w:styleId="10">
    <w:name w:val="正文缩进2"/>
    <w:basedOn w:val="1"/>
    <w:qFormat/>
    <w:uiPriority w:val="0"/>
    <w:rPr>
      <w:rFonts w:eastAsia="仿宋_GB2312"/>
      <w:kern w:val="0"/>
      <w:sz w:val="24"/>
      <w:szCs w:val="22"/>
    </w:rPr>
  </w:style>
  <w:style w:type="paragraph" w:customStyle="1" w:styleId="11">
    <w:name w:val="正文-公1"/>
    <w:basedOn w:val="1"/>
    <w:next w:val="1"/>
    <w:qFormat/>
    <w:uiPriority w:val="0"/>
    <w:pPr>
      <w:ind w:firstLine="200" w:firstLineChars="200"/>
      <w:jc w:val="left"/>
    </w:pPr>
    <w:rPr>
      <w:rFonts w:eastAsia="仿宋_GB2312"/>
    </w:rPr>
  </w:style>
  <w:style w:type="paragraph" w:customStyle="1" w:styleId="12">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2024-02-02T18:04:00Z</dcterms:created>
  <dc:creator>Administrator</dc:creator>
  <cp:lastModifiedBy>greatwall</cp:lastModifiedBy>
  <cp:lastPrinted>2024-03-07T17:57:00Z</cp:lastPrinted>
  <dcterms:modified xsi:type="dcterms:W3CDTF">2024-03-12T08:59:46Z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