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bCs/>
          <w:snapToGrid w:val="0"/>
          <w:spacing w:val="0"/>
          <w:kern w:val="0"/>
          <w:sz w:val="44"/>
          <w:szCs w:val="44"/>
          <w:lang w:val="en-US" w:eastAsia="zh-CN"/>
        </w:rPr>
      </w:pPr>
      <w:r>
        <w:rPr>
          <w:rFonts w:hint="eastAsia" w:ascii="方正小标宋_GBK" w:hAnsi="方正小标宋_GBK" w:eastAsia="方正小标宋_GBK" w:cs="方正小标宋_GBK"/>
          <w:bCs/>
          <w:snapToGrid w:val="0"/>
          <w:spacing w:val="0"/>
          <w:kern w:val="0"/>
          <w:sz w:val="44"/>
          <w:szCs w:val="44"/>
          <w:lang w:val="en-US" w:eastAsia="zh-CN"/>
        </w:rPr>
        <w:t>重庆市巴南区招商投资促进局</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eastAsia" w:ascii="方正小标宋_GBK" w:hAnsi="方正小标宋_GBK" w:eastAsia="方正小标宋_GBK" w:cs="方正小标宋_GBK"/>
          <w:bCs/>
          <w:snapToGrid w:val="0"/>
          <w:spacing w:val="0"/>
          <w:kern w:val="0"/>
          <w:sz w:val="44"/>
          <w:szCs w:val="44"/>
          <w:lang w:val="en-US" w:eastAsia="zh-CN"/>
        </w:rPr>
      </w:pPr>
      <w:r>
        <w:rPr>
          <w:rFonts w:hint="eastAsia" w:ascii="方正小标宋_GBK" w:hAnsi="方正小标宋_GBK" w:eastAsia="方正小标宋_GBK" w:cs="方正小标宋_GBK"/>
          <w:bCs/>
          <w:snapToGrid w:val="0"/>
          <w:spacing w:val="0"/>
          <w:kern w:val="0"/>
          <w:sz w:val="44"/>
          <w:szCs w:val="44"/>
          <w:lang w:val="en-US" w:eastAsia="zh-CN"/>
        </w:rPr>
        <w:t>2020年法治政府建设工作总结</w:t>
      </w:r>
    </w:p>
    <w:p>
      <w:pPr>
        <w:pStyle w:val="6"/>
        <w:keepNext w:val="0"/>
        <w:keepLines w:val="0"/>
        <w:pageBreakBefore w:val="0"/>
        <w:widowControl w:val="0"/>
        <w:kinsoku/>
        <w:wordWrap/>
        <w:overflowPunct/>
        <w:topLinePunct w:val="0"/>
        <w:autoSpaceDE w:val="0"/>
        <w:autoSpaceDN w:val="0"/>
        <w:bidi w:val="0"/>
        <w:adjustRightInd w:val="0"/>
        <w:snapToGrid/>
        <w:spacing w:line="540" w:lineRule="exact"/>
        <w:textAlignment w:val="auto"/>
        <w:outlineLvl w:val="9"/>
        <w:rPr>
          <w:rFonts w:hint="eastAsia" w:ascii="方正小标宋_GBK" w:hAnsi="方正小标宋_GBK" w:eastAsia="方正小标宋_GBK" w:cs="方正小标宋_GBK"/>
          <w:bCs/>
          <w:snapToGrid w:val="0"/>
          <w:spacing w:val="0"/>
          <w:kern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2020年，在区委、区政府的正确领导下，我局深入学习习近平总书记全面依法治国新理念新思想新战略，认真贯彻十九届四中全会和中央全面依法治国委员会第三次会议精神，紧紧围绕全区中心工作，立足于依法招商工作目标，严格按各项招商评审程序，依法履行招商引资相关规章制度前提下，依法行政、依法招商，进一步落实各项产业扶持政策，强化对招商项目、投资企业协调服务，全区招商工作在社会主义浓厚的法治环境下稳中有序推进。现将有关工作情况总结如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黑体_GBK" w:hAnsi="方正黑体_GBK" w:eastAsia="方正黑体_GBK" w:cs="方正黑体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一、加强领导责任，明确工作职责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为顺利开展好此项工作，我局成立了以党组书记、局长为组长，各党组成员、副局长为副组长，各科室负责人为成员的依法治区工作领导小组，形成了主要领导亲自抓，全局干部职工共同参与的格局。我局以提高依法执政能力为重点，不定期开展法制宣传教育活动，把全体干部职工的思想统一到“依法行政、依法办事”上来，增强法律素质和法律责任，为全面落实推进依法治区进程，营造良好的营商环境和法治环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黑体_GBK" w:hAnsi="方正黑体_GBK" w:eastAsia="方正黑体_GBK" w:cs="方正黑体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二、强化法制教育，落实民主决策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一是积极利用中心组、主题党日、支部组织生活会、干部职工例会，学习宣传习近平总书记全面依法治国新理念新思想新战略，中央全面依法治国委员会会议精神、市委全面依法治市委员会第一次会议精神、区委全面依法治区委员会第一次会议精神等，集中学习《宪法》、《中国共产党章程》、《党政领导干部选拔任用工作条例》、《中国共产党党内监督条例》等法律法规，切实增强全局干部职工的法律意识和法治观念，提高依法行政水平。截止12月，召开局机关召开党组会25次，对“三重一大”事项进行了科学、合理的决策；二是全面实施招商引资工作依法行政管理，组织全局干部职工进行税收、统计、基金、上市等培训，不定期对接区市场监管局、区规资局、区税务局等相关部门，理清企业准入门槛条件、两规覆盖或调规、征地、出让、注册、建设手续等，并对招引进我区的企业进行法律法规的业务指导，使招商引资工作依法依规、合法合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黑体_GBK" w:hAnsi="方正黑体_GBK" w:eastAsia="方正黑体_GBK" w:cs="方正黑体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三、强化宣传教育，落实普法责任制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一是结合宣传日、宣传周等重要时间节点开展法制宣传，我局结合“4·15”全民国家安全教育日、9月的国家网络安全宣传周、“12·4”国家宪法日宣传周等时机，通过“巴南招商”微信公众号发布相关宣传信息，在机关办公区域张贴宣传海报；二是组织领导班子和二级班子成员开展宪法宣誓活动，坚持深化宪法宣誓活动，8月下旬组织全体干部学习《中华人民共和国香港特别行政区维护国家安全法》；三是通过每日在工作群内提醒的方式，组织干部职工通过学习强国观看法律知识视频，提升人员法治观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黑体_GBK" w:hAnsi="方正黑体_GBK" w:eastAsia="方正黑体_GBK" w:cs="方正黑体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四、加强政策规范，优化营商环境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我局持续开展“招商优惠政策”兑现、清理，营造稳定公平透明、可预期的营商环境。我局建立完善了重大项目专家咨询、尽职调查及法务审查机制，实现了招商决策主体的专业化、决策程序的合理化、决策内容的规范化。进一步完善招商引资优惠政策评估机制，做好优惠政策资金平衡。严格协议约定和履约管理，坚持契约精神，杜绝“新官不理旧账”，对2018至2020年全区引进的招商项目推进进度及履约情况开展集中清理、督查，适时终止到期、过时的优惠政策等兑现复核。我局落实法律顾问制度，在区对外律师库中，确定重庆格林威律师事务所为区招商投资局常年法律顾问。法律顾问认真履职，依法审核审查合同、协议近30件。牵头起草《关于进一步规范完善全区招商投资促进工作机制的通知》等制度性文件，并对现存的规范性文件进行清理，及时上报。我局以健全的制度保障依法行政，规范权力运行，进一步提高了全区招商意识、招商法治观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黑体_GBK" w:hAnsi="方正黑体_GBK" w:eastAsia="方正黑体_GBK" w:cs="方正黑体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五、加强政策规范，优化营商环境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在疫情防控期间，我局依法依规做好疫情防控工作，统筹推进疫情防控和招商引资工作，积极探索新思路、新方法，实现抗疫和招商两手抓、两不误。一是提升政治站位抓好疫情防控。我局高度重视疫情防控工作、迅速采取有力措施，科学部署落实疫情防控期间的各项工作。抗疫期间，我局获巴南区“青年战疫先锋”集体荣誉、“致敬巴渝最美巾帼奋斗者”最美故事。二是发动招商力量抓好物资筹措。按照法律规定要求开展募集款物活动，向龙苑社区捐赠防疫物资，为打赢疫情防控阻击战贡献应尽的力量。三是抓好企业服务推进复工复产。贯彻落实习近平总书记在统筹推进新冠肺炎疫情防控和经济社会发展工作部署会议上的重要讲话精神，打好统筹疫情防控和经济发展“两手抓、两不误”攻坚战。积极协助园区企业有序高效推进复工复产，尽力降低疫情影响。四是创新工作方式开展“云会议”“云签约”，通过线上形式部署招商工作，签订投资协议，举办了2020重庆市巴南区重点招商项目“云签约”活动 。</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80" w:firstLineChars="0"/>
        <w:jc w:val="both"/>
        <w:textAlignment w:val="auto"/>
        <w:outlineLvl w:val="9"/>
        <w:rPr>
          <w:rFonts w:hint="eastAsia" w:ascii="方正黑体_GBK" w:hAnsi="方正黑体_GBK" w:eastAsia="方正黑体_GBK" w:cs="方正黑体_GBK"/>
          <w:bCs/>
          <w:snapToGrid w:val="0"/>
          <w:spacing w:val="0"/>
          <w:kern w:val="0"/>
          <w:sz w:val="32"/>
          <w:szCs w:val="32"/>
          <w:lang w:val="en-US" w:eastAsia="zh-CN"/>
        </w:rPr>
      </w:pPr>
      <w:r>
        <w:rPr>
          <w:rFonts w:hint="eastAsia" w:ascii="方正黑体_GBK" w:hAnsi="方正黑体_GBK" w:eastAsia="方正黑体_GBK" w:cs="方正黑体_GBK"/>
          <w:bCs/>
          <w:snapToGrid w:val="0"/>
          <w:spacing w:val="0"/>
          <w:kern w:val="0"/>
          <w:sz w:val="32"/>
          <w:szCs w:val="32"/>
          <w:lang w:val="en-US" w:eastAsia="zh-CN"/>
        </w:rPr>
        <w:t>六、下一步工作计划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r>
        <w:rPr>
          <w:rFonts w:hint="eastAsia" w:ascii="方正仿宋_GBK" w:hAnsi="方正仿宋_GBK" w:eastAsia="方正仿宋_GBK" w:cs="方正仿宋_GBK"/>
          <w:bCs/>
          <w:snapToGrid w:val="0"/>
          <w:spacing w:val="0"/>
          <w:kern w:val="0"/>
          <w:sz w:val="32"/>
          <w:szCs w:val="32"/>
          <w:lang w:val="en-US" w:eastAsia="zh-CN"/>
        </w:rPr>
        <w:t>今后，我局将严格按照区委、区政府的要求，持续做好全区依法治区工作安排，一是抓好领导干部学法用法，重点是抓好全区各专业招商小组成员单位的招商引资法律法规、方式方法的培训，进一步提高招商引资法治意识，从源头上确保招商工作取得实效；二是持续深入开展法制宣传教育，努力在全局营造崇尚法治的氛围，坚持和完善中心组学法、例会学法等制度，坚持履行法律顾问审核合同、协议的制度，培养干部职工遇事思法、办事依法、言必合法、行必守法的良好习惯；三是坚持依法行政，大力推进法治政府建设，完善依法行政长效机制。依法依规兑现各项招商优惠政策，对应该兑现的，高效务实足额地兑现，对不应兑现的，要按照要求把好关。依法建设诚信政府，努力营造良好营商环境；四是持续优化重构全区招商投促工作考核办法，将“招商促建”一体化推进，建立“签约落地、开工建设、服务协调”的一体化机制，依法推进招商、投资、促建工作。</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bCs/>
          <w:snapToGrid w:val="0"/>
          <w:spacing w:val="0"/>
          <w:kern w:val="0"/>
          <w:sz w:val="32"/>
          <w:szCs w:val="32"/>
          <w:lang w:val="en-US" w:eastAsia="zh-CN"/>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0"/>
        <w:jc w:val="right"/>
        <w:rPr>
          <w:rFonts w:hint="eastAsia" w:ascii="方正仿宋_GBK" w:hAnsi="方正仿宋_GBK" w:eastAsia="方正仿宋_GBK" w:cs="方正仿宋_GBK"/>
          <w:bCs/>
          <w:snapToGrid w:val="0"/>
          <w:spacing w:val="0"/>
          <w:kern w:val="0"/>
          <w:sz w:val="32"/>
          <w:szCs w:val="32"/>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0"/>
        <w:jc w:val="right"/>
        <w:rPr>
          <w:rFonts w:hint="eastAsia" w:ascii="方正仿宋_GBK" w:hAnsi="方正仿宋_GBK" w:eastAsia="方正仿宋_GBK" w:cs="方正仿宋_GBK"/>
          <w:bCs/>
          <w:snapToGrid w:val="0"/>
          <w:spacing w:val="0"/>
          <w:kern w:val="0"/>
          <w:sz w:val="32"/>
          <w:szCs w:val="32"/>
          <w:lang w:val="en-US" w:eastAsia="zh-CN" w:bidi="ar-SA"/>
        </w:rPr>
      </w:pPr>
      <w:r>
        <w:rPr>
          <w:rFonts w:hint="eastAsia" w:ascii="方正仿宋_GBK" w:hAnsi="方正仿宋_GBK" w:eastAsia="方正仿宋_GBK" w:cs="方正仿宋_GBK"/>
          <w:bCs/>
          <w:snapToGrid w:val="0"/>
          <w:spacing w:val="0"/>
          <w:kern w:val="0"/>
          <w:sz w:val="32"/>
          <w:szCs w:val="32"/>
          <w:lang w:val="en-US" w:eastAsia="zh-CN" w:bidi="ar-SA"/>
        </w:rPr>
        <w:t>重庆市巴南区招商投资促进局  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15" w:lineRule="atLeast"/>
        <w:ind w:left="0" w:right="0" w:firstLine="0"/>
        <w:jc w:val="right"/>
        <w:rPr>
          <w:rFonts w:hint="eastAsia" w:ascii="方正仿宋_GBK" w:hAnsi="方正仿宋_GBK" w:eastAsia="方正仿宋_GBK" w:cs="方正仿宋_GBK"/>
          <w:bCs/>
          <w:snapToGrid w:val="0"/>
          <w:spacing w:val="0"/>
          <w:kern w:val="0"/>
          <w:sz w:val="32"/>
          <w:szCs w:val="32"/>
          <w:lang w:val="en-US" w:eastAsia="zh-CN" w:bidi="ar-SA"/>
        </w:rPr>
      </w:pPr>
      <w:r>
        <w:rPr>
          <w:rFonts w:hint="eastAsia" w:ascii="方正仿宋_GBK" w:hAnsi="方正仿宋_GBK" w:eastAsia="方正仿宋_GBK" w:cs="方正仿宋_GBK"/>
          <w:bCs/>
          <w:snapToGrid w:val="0"/>
          <w:spacing w:val="0"/>
          <w:kern w:val="0"/>
          <w:sz w:val="32"/>
          <w:szCs w:val="32"/>
          <w:lang w:val="en-US" w:eastAsia="zh-CN" w:bidi="ar-SA"/>
        </w:rPr>
        <w:t>2021</w:t>
      </w:r>
      <w:bookmarkStart w:id="0" w:name="_GoBack"/>
      <w:bookmarkEnd w:id="0"/>
      <w:r>
        <w:rPr>
          <w:rFonts w:hint="eastAsia" w:ascii="方正仿宋_GBK" w:hAnsi="方正仿宋_GBK" w:eastAsia="方正仿宋_GBK" w:cs="方正仿宋_GBK"/>
          <w:bCs/>
          <w:snapToGrid w:val="0"/>
          <w:spacing w:val="0"/>
          <w:kern w:val="0"/>
          <w:sz w:val="32"/>
          <w:szCs w:val="32"/>
          <w:lang w:val="en-US" w:eastAsia="zh-CN" w:bidi="ar-SA"/>
        </w:rPr>
        <w:t>年1月21日       </w:t>
      </w:r>
    </w:p>
    <w:p>
      <w:pPr>
        <w:pStyle w:val="2"/>
        <w:rPr>
          <w:rFonts w:hint="eastAsia"/>
          <w:lang w:val="en-US"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3MWZkZjg0YTc0ZDgyMzU5MWYyZGU0MThkNzZiYjIifQ=="/>
  </w:docVars>
  <w:rsids>
    <w:rsidRoot w:val="00000000"/>
    <w:rsid w:val="0B0E09B5"/>
    <w:rsid w:val="2E163EBF"/>
    <w:rsid w:val="71C61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next w:val="1"/>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2301</Words>
  <Characters>2326</Characters>
  <Lines>0</Lines>
  <Paragraphs>0</Paragraphs>
  <TotalTime>3</TotalTime>
  <ScaleCrop>false</ScaleCrop>
  <LinksUpToDate>false</LinksUpToDate>
  <CharactersWithSpaces>2332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vivien</cp:lastModifiedBy>
  <dcterms:modified xsi:type="dcterms:W3CDTF">2023-03-03T09:17:22Z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6937FA5CCE7C49FCB8A841B6E299682B</vt:lpwstr>
  </property>
</Properties>
</file>