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小标宋_GBK" w:cs="方正粗宋_GBK"/>
          <w:color w:val="FF0000"/>
          <w:spacing w:val="6"/>
          <w:w w:val="50"/>
          <w:sz w:val="116"/>
          <w:szCs w:val="116"/>
          <w:lang w:eastAsia="zh-CN"/>
        </w:rPr>
      </w:pPr>
      <w:r>
        <w:rPr>
          <w:rFonts w:hint="eastAsia" w:ascii="Times New Roman" w:hAnsi="Times New Roman" w:eastAsia="方正小标宋_GBK" w:cs="方正粗宋_GBK"/>
          <w:color w:val="FF0000"/>
          <w:spacing w:val="6"/>
          <w:w w:val="50"/>
          <w:sz w:val="116"/>
          <w:szCs w:val="116"/>
        </w:rPr>
        <w:t>重庆市巴南区木洞镇人民政府</w:t>
      </w:r>
      <w:r>
        <w:rPr>
          <w:rFonts w:hint="eastAsia" w:ascii="Times New Roman" w:hAnsi="Times New Roman" w:eastAsia="方正小标宋_GBK" w:cs="方正粗宋_GBK"/>
          <w:color w:val="FF0000"/>
          <w:spacing w:val="6"/>
          <w:w w:val="50"/>
          <w:sz w:val="116"/>
          <w:szCs w:val="116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auto"/>
          <w:kern w:val="0"/>
          <w:sz w:val="32"/>
          <w:szCs w:val="32"/>
          <w:lang w:eastAsia="zh-CN"/>
        </w:rPr>
        <w:t>木洞府发〔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粗宋_GBK"/>
          <w:color w:val="FF0000"/>
          <w:spacing w:val="6"/>
          <w:sz w:val="32"/>
          <w:szCs w:val="3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53340</wp:posOffset>
            </wp:positionV>
            <wp:extent cx="5495925" cy="45720"/>
            <wp:effectExtent l="0" t="0" r="5715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napToGrid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重庆市巴南区木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lang w:eastAsia="zh-CN"/>
        </w:rPr>
        <w:t>洞镇人民政府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关于印发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  <w:lang w:eastAsia="zh-CN"/>
        </w:rPr>
        <w:t>木洞镇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  <w:t>耕地地力保护补贴面积清理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  <w:t>工作实施方案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pacing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Cs w:val="32"/>
        </w:rPr>
        <w:t>各</w:t>
      </w:r>
      <w:r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eastAsia="zh-CN"/>
        </w:rPr>
        <w:t>村村委会</w:t>
      </w:r>
      <w:r>
        <w:rPr>
          <w:rFonts w:hint="eastAsia" w:ascii="Times New Roman" w:hAnsi="Times New Roman" w:eastAsia="方正仿宋_GBK" w:cs="方正仿宋_GBK"/>
          <w:color w:val="auto"/>
          <w:spacing w:val="0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val="en-US" w:eastAsia="zh-CN"/>
        </w:rPr>
        <w:t>现将《木洞镇耕地地力保护补贴面积清理工作实施方案》印发给你们，请遵照执行。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Cs w:val="32"/>
        </w:rPr>
        <w:t>重庆市巴南区</w:t>
      </w:r>
      <w:r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eastAsia="zh-CN"/>
        </w:rPr>
        <w:t>木洞镇人民政府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right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val="en-US" w:eastAsia="zh-CN"/>
        </w:rPr>
        <w:t xml:space="preserve">  2024年2月7日</w:t>
      </w:r>
      <w:r>
        <w:rPr>
          <w:rFonts w:hint="eastAsia" w:ascii="Times New Roman" w:hAnsi="Times New Roman" w:cs="方正仿宋_GBK"/>
          <w:color w:val="auto"/>
          <w:spacing w:val="0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方正仿宋_GBK"/>
          <w:color w:val="auto"/>
          <w:spacing w:val="0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64" w:firstLineChars="1827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pacing w:val="0"/>
          <w:szCs w:val="32"/>
        </w:rPr>
        <w:sectPr>
          <w:footerReference r:id="rId3" w:type="default"/>
          <w:pgSz w:w="11849" w:h="16781"/>
          <w:pgMar w:top="1984" w:right="1531" w:bottom="1814" w:left="1531" w:header="851" w:footer="1361" w:gutter="0"/>
          <w:pgNumType w:fmt="numberInDash" w:chapStyle="1" w:chapSep="hyphen"/>
          <w:cols w:space="720" w:num="1"/>
          <w:rtlGutter w:val="0"/>
          <w:docGrid w:type="linesAndChars" w:linePitch="605" w:charSpace="-225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  <w:lang w:eastAsia="zh-CN"/>
        </w:rPr>
        <w:t>木洞镇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  <w:t>耕地地力保护补贴面积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</w:rPr>
        <w:t>清理工作实施方案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重庆市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巴南区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农业农村委员会、重庆市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巴南区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财政局《关于印发巴南区耕地地力保护补贴面积清理工作实施方案的通知》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巴南农业发〔2024〕9号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要求，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进一步做好我镇2023年耕地地力保护补贴工作，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清理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不予补贴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面积，核准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一般农户耕地地力保护补贴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实际种粮农民一次性补贴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面积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发挥耕地建设作用，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一、总体原则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耕地地力保护补贴用于支持保护耕地地力。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对非农征（占）用耕地、已作为畜牧养殖场使用的耕地、林地、草地、成片粮田转为设施农业用地等已改变用途的耕地，以及抛荒地、占补平衡中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补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的面积和质量达不到耕种条件的耕地等不予补贴。同一地块，一年只能享受一次耕地地力保护补贴。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对撂荒一年的耕地，取消次年补贴资格。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要对202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年本区域撂荒耕地及农户进行逐一摸排登记造册建档，以村为单位对耕地撂荒农户张榜公布，经公示后作为2023年取消补贴资格的依据。切实做到享受补贴农民的耕地不撂荒、地力不下降。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该登记册由村级存档备查。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二、清理程序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小组登记核实。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各村社小组入户登记户主姓名、身份证号码、农户编号、补贴面积、粮食种植面积等信息。村民小组对本组种地农民土地承包面积、不给予补贴面积进行登记核实，如实填写《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2023年巴南区耕地地力保护补贴面积清理登记表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》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附件1，以下简称《清理登记表》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由农户签字确认。再召开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村民小组大会确定、村组代表签字认可，于202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日前公示后上报村委会复核。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村级复核。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由村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组织人员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对《清理登记表》进行复核，通过村民代表大会审议、村民代表签字后，形成村民代表大会会议记录，进行村、组公示，公示时间不少于7天。公示无异议后，于202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日前将《清理登记表》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、《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巴南区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耕地地力保护补贴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面积汇总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表》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2，以下简称《面积汇总表》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）、村社两级会议记录复印件、公示图片等资料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上报镇街。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镇街审核确认。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1.农服中心负责对耕地面积进行复核。农服中心针对各村上报的资料组织人员进行审核，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核实各村、小组上报《清理登记表》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的真实性、准确性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，村、社两级公示情况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审核无误后在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《面积汇总表》（附件2）确认签字。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财政办负责对耕地系统数据进行复核。财政办针对农服中心已复核的资料，审核纸质资料和系统数据的一致性。审核无误后填报《面积汇总表》（附件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），并进行不少于</w:t>
      </w:r>
      <w:r>
        <w:rPr>
          <w:rFonts w:hint="eastAsia" w:ascii="Times New Roman" w:hAnsi="Times New Roman" w:eastAsia="方正仿宋_GBK" w:cs="方正仿宋_GBK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天的公示。公示期间，要接受群众监督，充分听取群众意见，发现问题及时纠正。公示完成后做好上报工作，同时完成资料的收集、归档、管理工作。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一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落实镇村社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三级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耕地地力保护面积清理工作的责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任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农业、财政等部门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要加强配合，相互支持，确保耕地地力保护补贴面积清理工作平稳推进。加强对村社干部的培训，让村社干部熟悉耕地地力保护补贴范围，掌握方法，组织力量加强核实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20"/>
        </w:rPr>
        <w:t>各村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20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20"/>
        </w:rPr>
        <w:t>耕地地力保护补贴申报工作的责任主体，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要高度负责，加强复核，确保耕地地力保护补贴面积清理工作顺利开展。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二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做好耕地地力保护补贴政策的宣传工作。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村社三级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要加大耕地地力保护补贴政策宣传力度，把“耕地撂荒一年，次年不得享受耕地地力保护补贴”“改变耕地用途，次年不得享受耕地地力保护补贴”“未履行耕地地力保护职责，次年不得享受耕地地力保护补贴”的政策宣传到户，做到补贴范围和补贴依据宣传到户，实现补贴政策家喻户晓，有效调动农民保护耕地地力和种粮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认真做好基础工作。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进一步完善耕地地力保护补贴面积公开公示，加强《清理登记表》、公示照片、核查资料等档案管理，落实各级各部门审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查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20"/>
        </w:rPr>
      </w:pP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四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严格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  <w:lang w:eastAsia="zh-CN"/>
        </w:rPr>
        <w:t>遵守工作纪律</w:t>
      </w:r>
      <w:r>
        <w:rPr>
          <w:rFonts w:hint="eastAsia" w:ascii="Times New Roman" w:hAnsi="Times New Roman" w:eastAsia="方正楷体_GBK" w:cs="方正楷体_GBK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耕地地力保护补贴涉及面广，影响大。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20"/>
        </w:rPr>
        <w:t>各村要严格执行廉洁纪律，禁止在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20"/>
          <w:lang w:eastAsia="zh-CN"/>
        </w:rPr>
        <w:t>清理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20"/>
        </w:rPr>
        <w:t>过程中优亲厚友，弄虚作假，损害群众利益。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20"/>
          <w:lang w:eastAsia="zh-CN"/>
        </w:rPr>
        <w:t>针对群众反映的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问题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，应及时化解，禁止推诿扯皮。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20"/>
        </w:rPr>
        <w:t>对于侵害群众利益的行为和个人将严肃处理。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镇农服中心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王明江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，电话：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19112695789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410" w:firstLineChars="1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盘文花，电话：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13983804450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镇财政办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张祎雪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，电话：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15213348826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年巴南区耕地地力保护补贴面积清理登记表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91" w:leftChars="0" w:right="0" w:rightChars="0" w:hanging="791" w:hangingChars="255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szCs w:val="32"/>
        </w:rPr>
        <w:sectPr>
          <w:pgSz w:w="11849" w:h="16781"/>
          <w:pgMar w:top="2098" w:right="1531" w:bottom="1743" w:left="1531" w:header="851" w:footer="1361" w:gutter="0"/>
          <w:pgNumType w:fmt="numberInDash" w:chapStyle="1" w:chapSep="hyphen"/>
          <w:cols w:space="720" w:num="1"/>
          <w:rtlGutter w:val="0"/>
          <w:docGrid w:type="linesAndChars" w:linePitch="605" w:charSpace="-2252"/>
        </w:sect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eastAsia="zh-CN"/>
        </w:rPr>
        <w:t>年巴南区耕地地力保护补贴面积汇总表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Times New Roman" w:eastAsia="方正小标宋_GBK" w:cs="方正小标宋_GBK"/>
          <w:bCs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0"/>
          <w:sz w:val="44"/>
          <w:szCs w:val="44"/>
          <w:lang w:val="en-US" w:eastAsia="zh-CN"/>
        </w:rPr>
        <w:t>2023</w:t>
      </w:r>
      <w:r>
        <w:rPr>
          <w:rFonts w:hint="eastAsia" w:ascii="Times New Roman" w:hAnsi="Times New Roman" w:eastAsia="方正小标宋_GBK" w:cs="方正小标宋_GBK"/>
          <w:bCs/>
          <w:color w:val="auto"/>
          <w:spacing w:val="0"/>
          <w:sz w:val="44"/>
          <w:szCs w:val="44"/>
          <w:lang w:val="en-US" w:eastAsia="zh-CN"/>
        </w:rPr>
        <w:t>年巴南区耕地地力保护补贴面积清理登记表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 w:firstLine="690" w:firstLineChars="300"/>
        <w:jc w:val="both"/>
        <w:textAlignment w:val="center"/>
        <w:outlineLvl w:val="9"/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填报单位（盖章）：                                         填报时间：   年    月    日              单位：亩</w:t>
      </w:r>
    </w:p>
    <w:tbl>
      <w:tblPr>
        <w:tblStyle w:val="5"/>
        <w:tblW w:w="130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216"/>
        <w:gridCol w:w="1214"/>
        <w:gridCol w:w="1218"/>
        <w:gridCol w:w="1132"/>
        <w:gridCol w:w="1462"/>
        <w:gridCol w:w="1325"/>
        <w:gridCol w:w="1488"/>
        <w:gridCol w:w="1069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农户编号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耕地信息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承包地面积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撂荒地面积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改变用途面积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享受面积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6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outlineLvl w:val="9"/>
              <w:rPr>
                <w:rFonts w:hint="eastAsia" w:ascii="Times New Roman" w:hAnsi="Times New Roman" w:eastAsia="方正仿宋_GBK" w:cs="方正仿宋_GBK"/>
                <w:i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690" w:firstLineChars="3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0"/>
          <w:sz w:val="24"/>
          <w:szCs w:val="24"/>
          <w:lang w:val="en-US" w:eastAsia="zh-CN"/>
        </w:rPr>
        <w:t>填表说明：</w:t>
      </w:r>
      <w:r>
        <w:rPr>
          <w:rFonts w:hint="default" w:ascii="Times New Roman" w:hAnsi="Times New Roman" w:eastAsia="方正仿宋_GBK" w:cs="Times New Roman"/>
          <w:spacing w:val="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pacing w:val="0"/>
          <w:sz w:val="24"/>
          <w:szCs w:val="24"/>
          <w:lang w:val="en-US" w:eastAsia="zh-CN"/>
        </w:rPr>
        <w:t>.本表在镇街保存，期限</w:t>
      </w:r>
      <w:r>
        <w:rPr>
          <w:rFonts w:hint="default" w:ascii="Times New Roman" w:hAnsi="Times New Roman" w:eastAsia="方正仿宋_GBK" w:cs="Times New Roman"/>
          <w:spacing w:val="0"/>
          <w:sz w:val="24"/>
          <w:szCs w:val="24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pacing w:val="0"/>
          <w:sz w:val="24"/>
          <w:szCs w:val="24"/>
          <w:lang w:val="en-US" w:eastAsia="zh-CN"/>
        </w:rPr>
        <w:t>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840" w:firstLineChars="8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pacing w:val="0"/>
          <w:sz w:val="24"/>
          <w:szCs w:val="24"/>
          <w:lang w:val="en-US" w:eastAsia="zh-CN"/>
        </w:rPr>
        <w:t>.承包地面积-撂荒地面积-改变用途积=享受面积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1840" w:firstLineChars="8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pacing w:val="0"/>
          <w:sz w:val="24"/>
          <w:szCs w:val="24"/>
          <w:lang w:val="en-US" w:eastAsia="zh-CN"/>
        </w:rPr>
        <w:t>.享受补贴面积≥实际种粮面积</w:t>
      </w:r>
    </w:p>
    <w:p>
      <w:pPr>
        <w:pStyle w:val="2"/>
        <w:ind w:left="0" w:leftChars="0" w:firstLine="690" w:firstLineChars="300"/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村负责人（签字）：                        复核人（签字）：                        登记人（签字）：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20" w:firstLineChars="200"/>
        <w:jc w:val="both"/>
        <w:outlineLvl w:val="9"/>
        <w:rPr>
          <w:rFonts w:hint="eastAsia" w:ascii="Times New Roman" w:hAnsi="Times New Roman" w:eastAsia="方正仿宋_GBK"/>
          <w:spacing w:val="0"/>
          <w:lang w:val="en-US" w:eastAsia="zh-CN"/>
        </w:rPr>
        <w:sectPr>
          <w:pgSz w:w="16781" w:h="11849" w:orient="landscape"/>
          <w:pgMar w:top="2098" w:right="1531" w:bottom="1984" w:left="1531" w:header="851" w:footer="1361" w:gutter="0"/>
          <w:pgNumType w:fmt="numberInDash" w:chapStyle="1" w:chapSep="hyphen"/>
          <w:cols w:space="720" w:num="1"/>
          <w:rtlGutter w:val="0"/>
          <w:docGrid w:type="linesAndChars" w:linePitch="605" w:charSpace="-2252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outlineLvl w:val="9"/>
        <w:rPr>
          <w:rFonts w:hint="eastAsia" w:ascii="Times New Roman" w:hAnsi="Times New Roman" w:eastAsia="方正黑体_GBK" w:cs="方正黑体_GBK"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Times New Roman" w:eastAsia="方正小标宋_GBK" w:cs="方正小标宋_GBK"/>
          <w:bCs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bCs/>
          <w:color w:val="auto"/>
          <w:spacing w:val="0"/>
          <w:sz w:val="44"/>
          <w:szCs w:val="44"/>
        </w:rPr>
        <w:t>年巴南区</w:t>
      </w:r>
      <w:r>
        <w:rPr>
          <w:rFonts w:hint="eastAsia" w:ascii="Times New Roman" w:hAnsi="Times New Roman" w:eastAsia="方正小标宋_GBK" w:cs="方正仿宋_GBK"/>
          <w:color w:val="auto"/>
          <w:spacing w:val="0"/>
          <w:sz w:val="44"/>
          <w:szCs w:val="44"/>
        </w:rPr>
        <w:t>耕地地力</w:t>
      </w:r>
      <w:r>
        <w:rPr>
          <w:rFonts w:hint="eastAsia" w:ascii="Times New Roman" w:hAnsi="Times New Roman" w:eastAsia="方正小标宋_GBK" w:cs="方正小标宋_GBK"/>
          <w:bCs/>
          <w:color w:val="auto"/>
          <w:spacing w:val="0"/>
          <w:sz w:val="44"/>
          <w:szCs w:val="44"/>
        </w:rPr>
        <w:t>保护补贴面积汇总表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填报单位（盖章）：                                        填报时间：   年    月    日                  单位：亩</w:t>
      </w:r>
    </w:p>
    <w:tbl>
      <w:tblPr>
        <w:tblStyle w:val="5"/>
        <w:tblpPr w:leftFromText="180" w:rightFromText="180" w:vertAnchor="text" w:horzAnchor="page" w:tblpX="2006" w:tblpY="95"/>
        <w:tblOverlap w:val="never"/>
        <w:tblW w:w="13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395"/>
        <w:gridCol w:w="1515"/>
        <w:gridCol w:w="1515"/>
        <w:gridCol w:w="2462"/>
        <w:gridCol w:w="2463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村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社数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户数</w:t>
            </w: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</w:rPr>
              <w:t>耕地保护补贴面积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eastAsia="zh-CN"/>
              </w:rPr>
              <w:t>实际种粮面积</w:t>
            </w: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宋体"/>
                <w:b w:val="0"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4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宋体"/>
                <w:b/>
                <w:color w:val="auto"/>
                <w:spacing w:val="0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镇街主要领导（签字）：     </w:t>
      </w:r>
      <w:r>
        <w:rPr>
          <w:rFonts w:hint="eastAsia" w:ascii="Times New Roman" w:hAnsi="Times New Roman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   财政办负责人（签字）：                          复核人（签字）：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sectPr>
          <w:pgSz w:w="16781" w:h="11849" w:orient="landscape"/>
          <w:pgMar w:top="1531" w:right="2098" w:bottom="1531" w:left="1984" w:header="851" w:footer="1361" w:gutter="0"/>
          <w:pgNumType w:fmt="numberInDash" w:chapStyle="1" w:chapSep="hyphen"/>
          <w:cols w:space="720" w:num="1"/>
          <w:rtlGutter w:val="0"/>
          <w:docGrid w:type="linesAndChars" w:linePitch="605" w:charSpace="-2252"/>
        </w:sectPr>
      </w:pPr>
      <w:r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镇街分管领导（签字）：                    </w:t>
      </w:r>
      <w:r>
        <w:rPr>
          <w:rFonts w:hint="eastAsia" w:ascii="Times New Roman" w:hAnsi="Times New Roman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方正仿宋_GBK" w:cs="方正仿宋_GBK"/>
          <w:i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农业服务中心负责人（签字）：                    复核人（签字）：</w:t>
      </w:r>
    </w:p>
    <w:p>
      <w:pPr>
        <w:pStyle w:val="2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/>
          <w:i w:val="0"/>
          <w:caps w:val="0"/>
          <w:snapToGrid w:val="0"/>
          <w:color w:val="333333"/>
          <w:spacing w:val="0"/>
          <w:kern w:val="0"/>
          <w:sz w:val="44"/>
          <w:szCs w:val="44"/>
          <w:u w:val="non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snapToGrid w:val="0"/>
          <w:color w:val="333333"/>
          <w:spacing w:val="0"/>
          <w:kern w:val="0"/>
          <w:sz w:val="28"/>
          <w:szCs w:val="28"/>
          <w:u w:val="none" w:color="auto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i w:val="0"/>
          <w:caps w:val="0"/>
          <w:snapToGrid w:val="0"/>
          <w:color w:val="333333"/>
          <w:spacing w:val="0"/>
          <w:kern w:val="0"/>
          <w:sz w:val="28"/>
          <w:szCs w:val="28"/>
          <w:u w:val="none" w:color="auto"/>
          <w:shd w:val="clear" w:color="auto" w:fill="FFFFFF"/>
          <w:lang w:val="en-US" w:eastAsia="zh-CN"/>
        </w:rPr>
        <w:t>重庆市巴南区木洞镇党政办公室             2024年2月7日印发</w:t>
      </w:r>
    </w:p>
    <w:sectPr>
      <w:pgSz w:w="11906" w:h="16838"/>
      <w:pgMar w:top="1984" w:right="1531" w:bottom="1814" w:left="1531" w:header="851" w:footer="992" w:gutter="0"/>
      <w:pgNumType w:fmt="numberInDash" w:chapStyle="1" w:chapSep="hyphe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DA5OGI1YTdjMTgzMmVhNWQ2N2QxZDA1Mzc2NDgifQ=="/>
  </w:docVars>
  <w:rsids>
    <w:rsidRoot w:val="66CE6713"/>
    <w:rsid w:val="550A4B5E"/>
    <w:rsid w:val="66CE6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2024-02-23T02:31:00Z</dcterms:created>
  <dc:creator>Administrator</dc:creator>
  <cp:lastModifiedBy>ASUS</cp:lastModifiedBy>
  <dcterms:modified xsi:type="dcterms:W3CDTF">2024-02-23T03:30:56Z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C12F23DB20AE48DCBCE74538E0A6A93E_12</vt:lpwstr>
  </property>
</Properties>
</file>