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rPr>
      </w:pPr>
      <w:r>
        <w:rPr>
          <w:rFonts w:hint="eastAsia" w:ascii="方正小标宋_GBK" w:hAnsi="方正小标宋_GBK" w:eastAsia="方正小标宋_GBK" w:cs="方正小标宋_GBK"/>
          <w:b w:val="0"/>
          <w:bCs w:val="0"/>
          <w:i w:val="0"/>
          <w:caps w:val="0"/>
          <w:color w:val="000000"/>
          <w:spacing w:val="0"/>
          <w:sz w:val="44"/>
          <w:szCs w:val="44"/>
        </w:rPr>
        <w:t>重庆市巴南区人民政府南彭街道办事处</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rPr>
      </w:pPr>
      <w:r>
        <w:rPr>
          <w:rFonts w:hint="eastAsia" w:ascii="方正小标宋_GBK" w:hAnsi="方正小标宋_GBK" w:eastAsia="方正小标宋_GBK" w:cs="方正小标宋_GBK"/>
          <w:b w:val="0"/>
          <w:bCs w:val="0"/>
          <w:i w:val="0"/>
          <w:caps w:val="0"/>
          <w:color w:val="000000"/>
          <w:spacing w:val="0"/>
          <w:sz w:val="44"/>
          <w:szCs w:val="44"/>
        </w:rPr>
        <w:t>2019年度部门决算情况说明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一、部门基本情况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（一）职能职责。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1、街道党工委主要职能职责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街道党工委作为区委的派出机构，在区委领导下加强党对街道全面工作的政治领导，充分发挥政治核心作用，支持和保证行政组织充分行使职权，完成区委赋予的各项任务。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2、街道办事处主要职能职责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街道办事处是区人民政府的派出机构，在街道党工委的领导下，代表区人民政府对街道辖区行使管理职权的基层行政组织，行使人民政府赋予的职权。街道办事处的工作以社区建设为中心，以城市管理、社会保障为重点，实现基层基础工作社区化，社区建设社会化。街道办事处对辖区内的地区性、社会性、群众性工作全面负责，为辖区经济发展和社会进步创造良好的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（二）机构设置。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1、党政机构设置与职能配置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按照“精简、统一、效能”的原则，南彭街道综合设置党政综合办事机构5个</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即：党政办公室、经济发展科、社会事务科、社会治安综合治理委员会办公室、建设管理科。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2、事业机构设置与职能配置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重庆市巴南区南彭街道设置公益性事业机构6个。即：农业服务中心、文化服务中心、财政所、社会保障服务所、市政执法中队、畜牧兽医站。</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（三）单位构成。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从预算单位构成看，纳入本部门2019年度决算编制的二级预算单位主要包括街道党政办、财政所、文化服务中心、社保所、市政中队、农业服务中心和兽医站等。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二、部门决算情况说明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总体情况。2019年度收入总计8,602.60万元，支出总计8,602.60万元。收支较上年决算数增加1,229.34万元、增长16.67%，主要原因是结算补助比去年减少867.93万元，减少46.90%；专项补助增加2225.76万元，增加103.22%。上解支出增加128.5万元，增加53.21%。本部分的收入总计包括主要是财政拨款收入8602.60万元，占100%。支出总计包括本年支出8602.60万元。其中：基本支出2940.28万元，占34.18%，项目支出5662.32万元，占65.82%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收入情况。2019年度收入合计8,602.60万元，较上年决算数增加1,229.34万元，增长16.67%，主要原因是结算补助比去年减少867.93万元，减少46.90%；专项补助增加2225.76万元，增加103.22%。上解支出增加128.50万元，增加53.21%。其中：财政拨款收入8,602.60万元，占100.00%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支出情况。2019年度支出合计8,602.60万元，较上年决算数增加1,229.34万元，增长16.67%，主要原因是公共安全支出、城乡社区支出、农林水支出、其他支出等增加。其中：基本支出2940.28万元，占34.18%，项目支出5662.32万元，占65.82%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4.结转结余情况。2019年度年末结转和结余0.00万元，较上年决算数增加0.00万元，增长0.00%，与上年持平。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（二）财政拨款收入支出决算总体情况说明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2019年度财政拨款收、支总计8,602.60万元。与2018年相比，财政拨款收、支总计各增加1,229.34万元，增长16.67%。主要原因是结算补助比去年减少867.93万元，减少46.90% ；专项补助增加2225.76万元，增加103.22%。上解支出增加128.50万元，增加53.21%。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（三）一般公共预算财政拨款支出决算情况说明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1.收入情况。2019年度一般公共预算财政拨款收入7,518.89万元，较上年决算数增加236.27万元，增长3.24%。主要原因是项目支出增加15.74万元；基本支出增加220.53万元。较年初预算数增加2,504.96万元，增长49.96%。主要原因是村居干部调资、民政优抚调标、公用经费标准提高等。此外，年初财政拨款结转和结余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支出情况。2019年度一般公共预算财政拨款支出7,518.89万元，较上年决算数增加236.27万元，增长3.24%。主要原因是项目支出增加15.74万元；基本支出增加220.53万元。较年初预算数增加2,504.96万元，增长49.96%。主要原因是村居干部调资、民政优抚调标、公用经费标准提高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3.结转结余情况。2019年度年末一般公共预算财政拨款结转和结余0.00万元，较上年决算数增加0.00万元，增长0.00%，与上年持平。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4.比较情况。本部门2019年度一般公共预算财政拨款支出主要用于以下几个方面：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（1）一般公共服务支出1,260.42万元，占16.76%，较年初预算数增加331.95万元，增长35.75%，主要原因是由于公用经费提标，增加公务员平时考核，目标考核标准增加等。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（2）国防支出5.52万元，占0.07%，较年初预算数减少4.48万元，下降44.80%，主要原因是基层民兵支出减少。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（3）公共安全支出221.47万元，占2.95%，较年初预算数增加48.27万元，增长27.87%，主要原因是治安巡逻经费增加和安全支出增大。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（4）文化旅游体育与传媒支出216.45万元，占2.88%，较年初预算数增加79.53万元，增长58.09%，主要原因是 其他文化体育与传媒支出增加。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（5）社会保障与就业支出2,502.98万元，占33.29%，较年初预算数增加749.39万元，增长42.73%，主要原因是民政优抚调标。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（6）卫生健康支出254.88万元，占3.39%，较年初预算数增加92.55万元，增长57.01%，主要原因是社平工资增加，职工医疗保险费增加，城乡医疗救助增加。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（7）节能环保支出9.64万元，占0.13%，较年初预算数增加8.06万元，增长510.13%，主要原因是由于污水管网安装占地费3.50万元，污水管网维护费1.54万元占比较大。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（8）城乡社区支出766.88万元，占10.20%，较年初预算数增加278.83万元，增长57.13%，主要原因是其他城乡社区公共设施支出72.38万元，其他城乡社区支出126.90万元年初未做预算。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（9）农林水支出1,639.67万元，占21.81%，较年初预算数增加419.88万元，增长34.42%，主要原因是村社干部补助提标和农业事业单位公用经费调标。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（10）交通运输支出26.17万元，占0.35%，较年初预算数增加26.17万元，增长0.00%，主要原因是专项追加石岗农场公路拓宽工程25.00万元，双彭路石化工程1.17万元。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（11）商业服务业等支出14.79万元，占0.20%，较年初预算数增加14.79万元，增长0.00%，主要原因是专项追加农贸市场改造工程款14.79万元。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（12）自然资源海洋气象等支出2.80万元，占0.04%，较年初预算数增加2.80万元，增长0.00%，主要原因专项追加四山整治建筑款2.80万元。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（13）住房保障支出577.42万元，占7.68%，较年初预算数增加437.41万元，增长312.41%，主要原因是农村危房改造343.00万元、购房补贴110.11万元年初未做预算。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（14）灾害防治及应急管理支出19.80万元，占0.26%，较年初预算数增加19.80万元，增长0.00%，主要原因是专项追加购买消防器材15.07元，天台山村七级土地岩整治补偿款4.73万元。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2019年度一般公共财政拨款基本支出2,940.28万元。其中：人员经费2,433.42万元，较上年决算数增加319.21万元，增长15.10%，主要原因是公用经费调标，公务员平时考核和目标考核调标。人员经费用途主要包括工资、津补贴、社会保险缴费、十三个月奖励工资、平时考核和目标考核、职工住房公积金、公务员医疗补助。公用经费506.86万元，较上年决算数减少98.68万元，下降16.30%，主要原因是严格控制三公经费的增长和行政办公成本的增加。公用经费用途主要包括办公费、印刷费、汽车运行维护费、水费、电费、气费、维护维修费，工会经费、福利费、邮电费、其他交通费、会议和接待费、差旅费、租赁费、物业管理费、培训费、职工中餐补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（五）政府性基金预算收支决算情况说明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2019年度政府性基金预算财政拨款年初结转结余0.00万元，年末结转结余0.00万元。本年收入1,083.71万元，较上年决算数增加993.07万元，增长1,095.62%，主要原因是专项追加国有土地使用权出让收入及对应专项债务收入安排的支出858.82万元。本年支出1,083.71万元，较上年决算数增加993.07万元，增长1,095.62%，主要原因是专项追加国有土地使用权出让收入及对应专项债务收入安排的支出858.82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三、“三公”经费情况说明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（一）“三公”经费支出总体情况说明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2019年度“三公”经费支出共计21.51万元，较年初预算数减少4.49万元，下降17.27%，主要原因是厉行节约，严格控制三公经费支出。较上年支出数减少0.03万元，下降0.14%，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（二）“三公”经费分项支出情况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本单位2019年度未发生公务车购置支出。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本单位2019年度未发生因公出国（境）支出。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公务车运行维护费20.78万元，主要用于机要文件交换、市内因公出行、财政业务检查等工作所需车辆的燃料费、维修费、过桥过路费、保险费等。费用支出较年初预算数减少3.22万元，下降13.42%，主要原因是严格执行公务用车管理有关规定。较上年支出数减少0.03万元，下降0.14%，主要原因是一是加强对公务车辆管理，减少公车费用；二是公务用车使用实行严格管理。三是公务车维修保养由党政统一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公务接待费0.73万元，主要用于接待相关部门检查指导工作发生的接待支出。费用支出较年初预算数减少1.27万元，下降63.50%，主要原因是厉行节约，严格执行公务接待有关规定。较上年支出数减少0.01万元，下降1.35%，主要原因是：一是严格接待制度。二是严格陪餐人数，三是严格执行接待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（三）“三公”经费实物量情况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2019年度本部门因公出国（境）共计0个团组，0人；公务用车购置0辆，公务车保有量为9辆；国内公务接待29批次82人，其中：国内外事接待0批次，0人；国（境）外公务接待0批次，0人。2019年本部门人均接待费89.44元，车均购置费0.00万元，车均维护费2.31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四、其他需要说明的事项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机关运行经费情况说明。机关运行经费较上年决算数减少118.04万元，下降24.42%，主要原因是办公费、印刷费、电费等有所下降。2019年度本部门机关运行经费支出365.27万元，机关运行经费主要用于开支办公费、印刷费、差旅费、水费、电费、邮电费、公务接待费、职工工会经费、福利费、会议费、培训费、维修维护费、物业管理费、公务车运行维护费、其他交通费、信息网络购置更新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此外，本年度一般公共预算财政拨款会议费支出9.74万元，较上年决算数减少3.10万元，下降24.14%，主要原因是本年会议相对较少，且严格控制会议费支出。本年度一般公共预算财政拨款培训费支出16.03万元，较上年决算数减少19.51万元，下降54.90%，主要原因是本年市外培训较少，且严格控制培训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国有资产占用情况说明。截至2019年12月31日，本部门共有车辆19辆，其中，副部（省）级及以上领导用车0辆、主要领导干部用车0辆、机要通信用车1辆、应急保障用车8辆、执法执勤用车0辆，特种专业技术用车10辆，离退休干部用车0辆，其他用车0辆。单价50万元（含）以上通用设备0台（套），单价100万元（含）以上专用设备0台（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政府采购支出情况说明。2019年度本部门政府采购支出总额90.38万元，其中：政府采购货物支出3.38万元、政府采购工程支出87.00万元、政府采购服务支出0.00万元。授予中小企业合同金额90.38万元，占政府采购支出总额的100.00%，其中：授予小微企业合同金额90.38万元，占政府采购支出总额的100.00%。主要用于采购政府采购货物3.38万元是电脑和打印机，政府采购工程支出87.00万元是公路工程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五、预算绩效管理情况说明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根据预算绩效管理要求，本部门对64个项目开展了绩效自评，其中，以填报目标自评表形式开展自评64项，涉及资金4128.29万元。从评价情况来看，完成年初绩效申报目标，项目实施群众满意度较高。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（二）绩效自评结果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1.绩效目标自评表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宋体" w:hAnsi="宋体" w:eastAsia="宋体" w:cs="宋体"/>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64个项目绩效目标自评综述：根据年初设定的绩效目标，项目总体完成年初的绩效目标，取得了一定的经济效益和社会效益。项目全年预算数为4128.29万元，执行数为4128.29万元，完成预算的100%。主要产出和效果：一是免费开放项目让广大群众享受优质的文化服务；二是城市综合管理提升、环境综合整治、背街小巷整治，提升街道的城市品质，提升街道城市综合管理；三是完成大鱼村拖白路泥结石道路1922米的修建。发现的问题及原因，一是资金指标下达晚，二是工作任务当年不能完成。下一步改进措施，一是年初早下达项目建设任务，争取当年任务当年完；二是街道从事财政工作人员偏少；三是对开展绩效评价工作业务不熟，有待进一步加强和提高</w:t>
      </w:r>
      <w:r>
        <w:rPr>
          <w:rFonts w:hint="eastAsia" w:ascii="宋体" w:hAnsi="宋体" w:eastAsia="宋体" w:cs="宋体"/>
          <w:i w:val="0"/>
          <w:caps w:val="0"/>
          <w:color w:val="000000"/>
          <w:spacing w:val="0"/>
          <w:sz w:val="19"/>
          <w:szCs w:val="19"/>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380" w:firstLineChars="200"/>
        <w:jc w:val="both"/>
        <w:textAlignment w:val="auto"/>
        <w:outlineLvl w:val="9"/>
        <w:rPr>
          <w:rFonts w:hint="eastAsia" w:ascii="宋体" w:hAnsi="宋体" w:eastAsia="宋体" w:cs="宋体"/>
          <w:i w:val="0"/>
          <w:caps w:val="0"/>
          <w:color w:val="000000"/>
          <w:spacing w:val="0"/>
          <w:sz w:val="19"/>
          <w:szCs w:val="19"/>
        </w:rPr>
      </w:pPr>
    </w:p>
    <w:tbl>
      <w:tblPr>
        <w:tblStyle w:val="4"/>
        <w:tblpPr w:leftFromText="180" w:rightFromText="180" w:vertAnchor="text" w:horzAnchor="page" w:tblpX="1411" w:tblpY="466"/>
        <w:tblOverlap w:val="never"/>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
      <w:tblGrid>
        <w:gridCol w:w="1015"/>
        <w:gridCol w:w="1320"/>
        <w:gridCol w:w="1632"/>
        <w:gridCol w:w="1296"/>
        <w:gridCol w:w="1464"/>
        <w:gridCol w:w="840"/>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630" w:hRule="atLeast"/>
        </w:trPr>
        <w:tc>
          <w:tcPr>
            <w:tcW w:w="9254" w:type="dxa"/>
            <w:gridSpan w:val="7"/>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项目资金绩效目标自评表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90" w:hRule="atLeast"/>
        </w:trPr>
        <w:tc>
          <w:tcPr>
            <w:tcW w:w="9254" w:type="dxa"/>
            <w:gridSpan w:val="7"/>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356" w:hRule="atLeast"/>
        </w:trPr>
        <w:tc>
          <w:tcPr>
            <w:tcW w:w="3967" w:type="dxa"/>
            <w:gridSpan w:val="3"/>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558" w:hRule="atLeast"/>
        </w:trPr>
        <w:tc>
          <w:tcPr>
            <w:tcW w:w="1015"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专项（项目）名称</w:t>
            </w:r>
          </w:p>
        </w:tc>
        <w:tc>
          <w:tcPr>
            <w:tcW w:w="4248" w:type="dxa"/>
            <w:gridSpan w:val="3"/>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2018年四好农村路建设资金—双彭路1.17万</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联系人及电话</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lang w:val="en-US" w:eastAsia="zh-CN"/>
              </w:rPr>
            </w:pPr>
            <w:r>
              <w:rPr>
                <w:rFonts w:hint="eastAsia" w:ascii="宋体" w:hAnsi="宋体" w:eastAsia="宋体" w:cs="宋体"/>
                <w:sz w:val="19"/>
                <w:szCs w:val="19"/>
              </w:rPr>
              <w:t>陈锡武</w:t>
            </w:r>
            <w:r>
              <w:rPr>
                <w:rFonts w:hint="eastAsia" w:ascii="宋体" w:hAnsi="宋体" w:eastAsia="宋体" w:cs="宋体"/>
                <w:sz w:val="19"/>
                <w:szCs w:val="19"/>
                <w:lang w:val="en-US" w:eastAsia="zh-CN"/>
              </w:rPr>
              <w:t>023-66416861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604" w:hRule="atLeast"/>
        </w:trPr>
        <w:tc>
          <w:tcPr>
            <w:tcW w:w="1015"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主管部门</w:t>
            </w:r>
          </w:p>
        </w:tc>
        <w:tc>
          <w:tcPr>
            <w:tcW w:w="4248" w:type="dxa"/>
            <w:gridSpan w:val="3"/>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区交通局</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firstLine="380" w:firstLineChars="20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实施单位</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南彭街道办事处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604" w:hRule="atLeast"/>
        </w:trPr>
        <w:tc>
          <w:tcPr>
            <w:tcW w:w="1015"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项目资金（万元）</w:t>
            </w:r>
          </w:p>
        </w:tc>
        <w:tc>
          <w:tcPr>
            <w:tcW w:w="4248" w:type="dxa"/>
            <w:gridSpan w:val="3"/>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全年预算数（A）</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全年执行数（B）</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462"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总量</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1.17</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380" w:firstLineChars="20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总量</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1.17</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450"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其中：财政资金</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1.17</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其中：财政资金</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1.17</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448" w:hRule="atLeast"/>
        </w:trPr>
        <w:tc>
          <w:tcPr>
            <w:tcW w:w="1015"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年度总体目标</w:t>
            </w:r>
          </w:p>
        </w:tc>
        <w:tc>
          <w:tcPr>
            <w:tcW w:w="5712" w:type="dxa"/>
            <w:gridSpan w:val="4"/>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年初设定目标</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626"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5712" w:type="dxa"/>
            <w:gridSpan w:val="4"/>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双彭路系2017年农村联网公路建设项目，由巴南府办</w:t>
            </w:r>
            <w:r>
              <w:rPr>
                <w:rFonts w:hint="eastAsia" w:ascii="宋体" w:hAnsi="宋体" w:eastAsia="宋体" w:cs="宋体"/>
                <w:sz w:val="19"/>
                <w:szCs w:val="19"/>
                <w:lang w:eastAsia="zh-CN"/>
              </w:rPr>
              <w:t>发〔</w:t>
            </w:r>
            <w:r>
              <w:rPr>
                <w:rFonts w:hint="eastAsia" w:ascii="宋体" w:hAnsi="宋体" w:eastAsia="宋体" w:cs="宋体"/>
                <w:sz w:val="19"/>
                <w:szCs w:val="19"/>
              </w:rPr>
              <w:t>2017</w:t>
            </w:r>
            <w:r>
              <w:rPr>
                <w:rFonts w:hint="eastAsia" w:ascii="宋体" w:hAnsi="宋体" w:eastAsia="宋体" w:cs="宋体"/>
                <w:sz w:val="19"/>
                <w:szCs w:val="19"/>
                <w:lang w:eastAsia="zh-CN"/>
              </w:rPr>
              <w:t>〕</w:t>
            </w:r>
            <w:r>
              <w:rPr>
                <w:rFonts w:hint="eastAsia" w:ascii="宋体" w:hAnsi="宋体" w:eastAsia="宋体" w:cs="宋体"/>
                <w:sz w:val="19"/>
                <w:szCs w:val="19"/>
              </w:rPr>
              <w:t>16号下达计划里程2.3公里</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双彭路项目实际完成里程2.274KM.，1.17万剩余0.026里程的补助金额。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448" w:hRule="atLeast"/>
        </w:trPr>
        <w:tc>
          <w:tcPr>
            <w:tcW w:w="1015"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绩效指标</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指标名称</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年度指标值</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全年完成值</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完成比例</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未完成原因和改进措施及相关说明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382"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一级指标</w:t>
            </w: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二级指标</w:t>
            </w: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814"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产出指标</w:t>
            </w: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数量指标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下达的2.3公里</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实际完成2.27</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实际里程与下达里程有0.026里程的差距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60" w:type="dxa"/>
            <w:right w:w="120" w:type="dxa"/>
          </w:tblCellMar>
        </w:tblPrEx>
        <w:trPr>
          <w:trHeight w:val="1014"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质量指标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质量抽检必须符合农村公路质量规范和要求</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监理、质量站和村委会均同意交工验收</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604"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时效指标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及时完成工期</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在工期内完成全部工程</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604"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成本指标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按照45万元每公里计算</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合同金额已经支付完成</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518"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效益指标</w:t>
            </w: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经济效益指标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产业发展，农副产品输出</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带动群众增收致富奔小康</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102"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社会效益指标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626"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生态效益指标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环境污染减少</w:t>
            </w: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白色污染明显减少，周边环境明显改善</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100%</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498"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可持续影响指标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474" w:hRule="atLeast"/>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kinsoku/>
              <w:overflowPunct/>
              <w:topLinePunct w:val="0"/>
              <w:autoSpaceDE/>
              <w:autoSpaceDN/>
              <w:bidi w:val="0"/>
              <w:adjustRightInd/>
              <w:snapToGrid/>
              <w:spacing w:line="200" w:lineRule="exact"/>
              <w:jc w:val="center"/>
              <w:textAlignment w:val="auto"/>
              <w:outlineLvl w:val="9"/>
              <w:rPr>
                <w:rFonts w:hint="eastAsia" w:ascii="宋体"/>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管理类指标</w:t>
            </w:r>
          </w:p>
        </w:tc>
        <w:tc>
          <w:tcPr>
            <w:tcW w:w="1632"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满意度指标</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464"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840"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c>
          <w:tcPr>
            <w:tcW w:w="1687"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center"/>
              <w:textAlignment w:val="auto"/>
              <w:outlineLvl w:val="9"/>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60" w:type="dxa"/>
            <w:right w:w="120" w:type="dxa"/>
          </w:tblCellMar>
        </w:tblPrEx>
        <w:trPr>
          <w:trHeight w:val="455" w:hRule="atLeast"/>
        </w:trPr>
        <w:tc>
          <w:tcPr>
            <w:tcW w:w="1015" w:type="dxa"/>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right="0"/>
              <w:jc w:val="both"/>
              <w:textAlignment w:val="auto"/>
              <w:outlineLvl w:val="9"/>
              <w:rPr>
                <w:rFonts w:hint="eastAsia" w:ascii="宋体" w:hAnsi="宋体" w:eastAsia="宋体" w:cs="宋体"/>
                <w:sz w:val="19"/>
                <w:szCs w:val="19"/>
              </w:rPr>
            </w:pPr>
            <w:r>
              <w:rPr>
                <w:rFonts w:hint="eastAsia" w:ascii="宋体" w:hAnsi="宋体" w:eastAsia="宋体" w:cs="宋体"/>
                <w:sz w:val="19"/>
                <w:szCs w:val="19"/>
              </w:rPr>
              <w:t>说明</w:t>
            </w:r>
          </w:p>
        </w:tc>
        <w:tc>
          <w:tcPr>
            <w:tcW w:w="8239" w:type="dxa"/>
            <w:gridSpan w:val="6"/>
            <w:tcBorders>
              <w:top w:val="single" w:color="auto" w:sz="4" w:space="0"/>
              <w:left w:val="single" w:color="auto" w:sz="4" w:space="0"/>
              <w:bottom w:val="single" w:color="auto" w:sz="4" w:space="0"/>
              <w:right w:val="single" w:color="auto" w:sz="4" w:space="0"/>
            </w:tcBorders>
            <w:shd w:val="clear" w:color="auto" w:fill="auto"/>
            <w:tcMar>
              <w:top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00" w:lineRule="exact"/>
              <w:ind w:left="0" w:right="0" w:firstLine="420"/>
              <w:jc w:val="center"/>
              <w:textAlignment w:val="auto"/>
              <w:outlineLvl w:val="9"/>
              <w:rPr>
                <w:rFonts w:hint="eastAsia" w:ascii="宋体" w:hAnsi="宋体" w:eastAsia="宋体" w:cs="宋体"/>
                <w:sz w:val="19"/>
                <w:szCs w:val="19"/>
              </w:rPr>
            </w:pPr>
            <w:r>
              <w:rPr>
                <w:rFonts w:hint="eastAsia" w:ascii="宋体" w:hAnsi="宋体" w:eastAsia="宋体" w:cs="宋体"/>
                <w:sz w:val="19"/>
                <w:szCs w:val="19"/>
              </w:rPr>
              <w:t>无</w:t>
            </w:r>
          </w:p>
        </w:tc>
      </w:tr>
    </w:tbl>
    <w:p>
      <w:pPr>
        <w:pStyle w:val="2"/>
        <w:keepNext w:val="0"/>
        <w:keepLines w:val="0"/>
        <w:widowControl/>
        <w:suppressLineNumbers w:val="0"/>
        <w:spacing w:before="120" w:beforeAutospacing="0" w:after="120" w:afterAutospacing="0" w:line="368" w:lineRule="atLeast"/>
        <w:rPr>
          <w:rFonts w:hint="eastAsia" w:ascii="宋体" w:hAnsi="宋体" w:eastAsia="宋体" w:cs="宋体"/>
          <w:i w:val="0"/>
          <w:caps w:val="0"/>
          <w:color w:val="000000"/>
          <w:spacing w:val="0"/>
          <w:sz w:val="19"/>
          <w:szCs w:val="19"/>
        </w:rPr>
      </w:pP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2.绩效自评报告或案例 </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（一）重点绩效评价结果</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 六、专业名词解释</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 （一）财政拨款收入：指本年度从本级财政部门取得的财政拨款，包括一般公共预算财政拨款和政府性基金预算财政拨款。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（二）事业收入：指事业单位开展专业业务活动及其辅助活动取得的现金流入；事业单位收到的财政专户实际核拨的教育收费等资金在此反映。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（三）经营收入：指事业单位在专业业务活动及其辅助活动之外开展非独立核算经营活动取得的现金流入。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（六）年初结转和结余：指单位上年结转本年使用的基本支出结转、项目支出结转和结余、经营结余。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（七）结余分配：指单位按照国家有关规定，缴纳所得税、提取专用基金、转入事业基金等当年结余的分配情况。</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（八）年末结转和结余：指单位结转下年的基本支出结转、项目支出结转和结余、经营结余。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（十）项目支出：指在基本支出之外为完成特定行政任务和事业发展目标所发生的支出。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（十一）经营支出：指事业单位在专业业务活动及其辅助活动之外开展非独立核算经营活动发生的支出。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（十四）工资福利支出（支出经济分类科目类级）：反映单位开支的在职职工和编制外长期聘用人员的各类劳动报酬，以及为上述人员缴纳的各项社会保险费等。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（十五）商品和服务支出（支出经济分类科目类级）：反映单位购买商品和服务的支出（不包括用于购置固定资产的支出、战略性和应急储备支出）。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（十六）对个人和家庭的补助（支出经济分类科目类级）：反映用于对个人和家庭的补助支出。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七、决算公开联系方式及信息反馈渠道</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本单位决算公开信息反馈和联系方式：023-66416813。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2EE9"/>
    <w:rsid w:val="020C0735"/>
    <w:rsid w:val="29633E5C"/>
    <w:rsid w:val="3A970008"/>
    <w:rsid w:val="6D7C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南彭党政办</cp:lastModifiedBy>
  <dcterms:modified xsi:type="dcterms:W3CDTF">2023-08-11T08:59:24Z</dcterms:modified>
  <dc:title>重庆市巴南区人民政府南彭街道办事处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