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重庆市巴南区人民政府南彭街道办事处2020年部门决算说明</w:t>
      </w:r>
    </w:p>
    <w:p>
      <w:pPr>
        <w:pStyle w:val="2"/>
        <w:widowControl/>
        <w:spacing w:beforeAutospacing="0" w:afterAutospacing="0" w:line="560" w:lineRule="exact"/>
        <w:ind w:firstLine="880" w:firstLineChars="200"/>
        <w:jc w:val="center"/>
        <w:rPr>
          <w:rFonts w:ascii="方正小标宋_GBK" w:hAnsi="方正小标宋_GBK" w:eastAsia="方正小标宋_GBK" w:cs="方正小标宋_GBK"/>
          <w:color w:val="000000"/>
          <w:sz w:val="44"/>
          <w:szCs w:val="44"/>
        </w:rPr>
      </w:pP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一、部门基本情况</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（一）职能职责。</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1、街道党工委主要职能职责</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街道党工委作为区委的派出机构，在区委领导下加强党对街道全面工作的政治领导，充分发挥政治核心作用，支持和保证行政组织充分行使职权，完成区委赋予的各项任务。</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2、街道办事处主要职能职责</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街道办事处是区人民政府的派出机构，在街道党工委的领导下，代表区人民政府对街道辖区行使管理职权的基层行政组织，行使人民政府赋予的职权。街道办事处的工作以社区建设为中心，以城市管理、社会保障为重点，实现基层基础工作社区化，社区建设社会化。街道办事处对辖区内的地区性、社会性、群众性工作全面负责，为辖区经济发展和社会进步创造良好的环境。</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（二）机构设置。</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1、党政机构设置与职能配置</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按照“精简、统一、效能”的原则，南彭街道设置党政内设机构9个。即：党政办公室、党群工作办公室、经济发展办公室、民政和社区事务办公室、平安建设办公室、规划建设管理环保办公室、财政办公室、应急管理办公室、综合行政执法办公室。</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2、事业机构设置与职能配置</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重庆市巴南区南彭街道设置公益性事业机构7个。即：农业服务中心、文化服务中心、社会保障服务所、综合行政执法大队、退役军人服务站、城镇管理服务中心、社区事务服务中心。</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（三）单位构成。</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从预算单位构成看，纳入本部门2020年度决算编制的二级预算单位主要包括街道党政办、文化服务中心、社保所、农业服务中心、社区事务服务中心、综合行政执法大队、退役军人服务站、城镇管理服务中心。</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二、部门决算情况说明</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（一）收入支出决算总体情况说明。</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总体情况。本部门2020年度收入总计7945.34万元，支出总计7945.34万元。收支较上年决算数减少657.26万元、下降7.6%，主要原因是人员经费和项目经费减少。本部分的收入总计包括收入合计、用事业基金弥补收支差额、年初结转和结余，支出总计包括本年支出合计、结余分配、年末结转和结余。</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收入情况。本部门2020年度收入合计7945.34万元，较上年决算数减少657.26万元，下降7.6%，主要原因是人员经费和项目经费减少。其中：财政拨款收入7945.34万元，占100.0%。此外，用事业基金弥补收支差额0万元，年初结转和结余0万元。</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支出情况。本部门2020年度支出合计7945.34万元，较上年决算数减少657.26万元，下降7.6%，主要原因是公共安全支出、文化旅游体育与传媒支出、城乡社区支出、农林水支出等减少。其中：基本支出2505.05万元，占31.5%；项目支出5440.29万元，占68.5%。此外，结余分配0万元。</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4.结转结余情况。本部门2020年度年末结转和结余0万元，较上年决算数减少0万元，下降0.0%，与上年持平。</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（二）财政拨款收入支出决算总体情况说明。</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2020年度财政拨款收、支总计7945.34万元。与2019年相比，财政拨款收、支总计各减少657.26万元，下降7.6%，主要原因是人员经费和项目经费减少。</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（三）一般公共预算财政拨款支出决算情况说明。</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收入情况。2020年度一般公共预算财政拨款收入7543.02万元，较上年决算数减少657.26万元，下降7.6%，主要原因是人员经费和项目经费减少。较年初预算数增加2151.32万元，增长37.1%。主要原因是村居干部调资、民政优抚调标。此外，年初财政拨款结转和结余0万元。</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支出情况。2020年度一般公共预算财政拨款支出7543.02万元，较上年决算数减少657.26万元，下降7.6%。主要原因是人员经费和项目经费减少。较年初预算数增加2151.32万元，增长37.1%。主要原因是村居干部调资、民政优抚调标。</w:t>
      </w:r>
      <w:bookmarkStart w:id="0" w:name="_GoBack"/>
      <w:bookmarkEnd w:id="0"/>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3.结转结余情况。2020年度年末一般公共预算财政拨款结转和结余0万元，较上年决算数减少0万元，下降0.0%，与上年持平。</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4.比较情况。本部门2020年度一般公共预算财政拨款支出主要用于以下几个方面：</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（1）一般公共服务支出1187万元，占15.7%，较年初预算数增加222.54万元，增长23.1%，主要原因是公用经费提标，增加公务员平时考核，目标考核标准增加等。</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（2）国防支出4.48万元，占0.1%，较年初预算数减少5.52万元，下降55.2%，主要原因是基层民兵支出减少。</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（3）公共安全支出119.05万元，占1.6%，较年初预算数减少135.97万元，下降55.3%，主要原因是治安巡逻经费和安全支出减少。</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（4）文化旅游体育与传媒支出103.78万元，占1.4%，较年初预算数减少16.67万元，下降13.8%，主要原因是文化活动与其他文化体育与传媒支出减少。</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（5）社会保障与就业支出2552.15万元，占33.8%，较年初预算数增加356.02万元，增长16.2%，主要原因是民政优抚调标。</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（6）卫生健康支出574.79万元，占7.6%，较年初预算数增加403.88万元，增长236.3%，主要原因是社平工资增加，职工医疗保险费增加，城乡医疗救助增加。</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（7）节能环保支出119.08万元，占1.6%，较年初预算数增加117.51万元，增长7460.6%，主要原因是城镇管理服务中心支出纳入节能环保。</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（8）城乡社区支出592.64万元，占7.9%，较年初预算数增加335.98万元，增长11.1%，主要原因是城乡社区环境卫生支出增加</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（9）农林水支出1317.52万元，占17.5%，较年初预算数减少67.81万元，下降4.9%，主要原因是一事一议支出减少。</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交通运输支出216.87万元，占2.9%，较年初预算数增加216.87万元，增长0.0%，主要原因是历年市专项2017年农村公路建设补助资金—双彭路23万元、2018年四好农村路建设资金102.99万元、四好农村路建设资金30.93万元，年初部门预算农村公路养护资金9.95万元、2020年农村公路水毁整治补助50万元。</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（11）自然资源海洋气象等支出12万元，占0.2%，较年初预算数增加12万元，增长0.0%，主要原因是四山拆除费用12万元。</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（12）住房保障支出557.36万元，占7.4%，较年初预算数增加400.47万元，增长255.3%，主要原因是农村危房改造年初未做预算。</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（13）灾害防治及应急管理支出186.29万元，占2.5%，较年初预算数增加186.29万元，增长0.0%，主要原因是综合执法大队支出纳入应急管理支出。</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（四）一般公共预算财政拨款基本支出决算情况说明</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部门2020年度一般公共财政拨款基本支出2505.05万元。其中：人员经费1860.32万元，较上年决算数减少573.1万元，下降23.6%，主要原因是公务员平时考核、事业单位超额绩效和目标考核发放时间与往年相比较晚一些。人员经费用途主要包括基本工资、津贴补贴、奖金、社会保障缴费、平时考核、目标考核、职工住房公积金、其他工资福利支出、生活补助、其他个人和家庭的补助支出等</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公用经费644.73万元，较上年决算数增加137.87万元，增长27.2%，主要原因是行政办公成本的增加。公用经费用途主要包括办公费、印刷费、汽车运行维护费、水费、电费、气费、维护维修费，工会经费、福利费、邮电费、其他交通费、会议和接待费、差旅费、租赁费、物业管理费、培训费、职工中餐补助费等。</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（五）政府性基金预算收支决算情况说明。</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部门2020年度政府性基金预算财政拨款年初结转结余0万元，年末结转结余0万元。本年收入402.32万元，较上年决算数减少681.39万元，下降62.9%，主要原因是本年无大中型水库移民后期扶持基金支出、国有土地使用权出让收入安排的支出减少。本年支出402.32万元，较上年决算数减少681.39万元，下降62.9%，主要原因是本年无大中型水库移民后期扶持基金支出、国有土地使用权出让收入安排的支出减少。</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（六）国有资本经营预算财政拨款支出决算情况说明</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本部门2020年度无国有资本经营预算财政拨款支出。</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三、“三公”经费情况说明</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（一）“三公”经费支出总体情况。</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2020年度本部门“三公”经费支出共计20.84万元，较年初预算数减少4.96万元，下降19.2%，主要原因是厉行节约，严格控制三公经费支出。较上年支出数减少0.67万元，下降3.1%，主要原因是一是认真贯彻落实中央八项规定精神，按照只减不增的要求从严控制“三公”经费，全年实际支出较预算和决算均有所下降。二是严格落实公车使用规定，公车运行维护成本大幅下降。三是进一步规范因公出国（境）活动，今年未安排人员出国出访。</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（二）“三公”经费分项支出情况。</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本单位2020年度未发生因公出国（境）费用支出。</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本单位2020年度未发生公务车购置费支出。</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公务车运行维护费19.44万元，主要用于机要文件交换、市内因公出行、财政业务检查等工作所需车辆的燃料费、维修费、过桥过路费、保险费等。费用支出较年初预算数减少4.56万元，下降19.0%，主要原因是严格执行公务用车管理有关规定。较上年支出数减少1.34万元，下降6.4%，主要原因是一是加强对公务车辆管理，减少公车费用；二是公务用车使用实行严格管理。三是公务车维修保养由党政统一管理。</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公务接待费1.41万元，主要用于接待相关部门检查指导工作发生的接待支出。费用支出较年初预算数减少0.39万元，下降21.7%，主要原因是主要原因是厉行节约，严格执行公务接待有关规定。较上年支出数增加0.68万元，增长93.2%，主要原因是本年度公务接待次数和人数有所增加。</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（三）“三公”经费实物量情况。</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2020年度本部门因公出国（境）共计0个团组，0人；公务用车购置0辆，公务车保有量为15辆；国内公务接待25批次76人，其中：国内外事接待0批次，0人；国（境）外公务接待0批次，0人。2020年本部门人均接待费185.53元，车均购置费0万元，车均维护费1.3万元。</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四、其他需要说明的事项</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机关运行经费情况说明。2020年度本部门机关运行经费支出546.07万元，机关运行经费主要用于开支办公费、印刷费、差旅费、水费、电费、邮电费、公务接待费、职工工会经费、福利费、会议费、培训费、维修维护费、物业管理费、公务车运行维护费、其他交通费、信息网络购置更新费。机关运行经费较上年决算数增加180.8万元，增长49.5%，主要原因是本年水电费增加、因公出差增加。</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本年度会议费支出1.36万元，较上年决算数减少8.38万元，下降86.0%，主要原因是疫情影响会议相对较少，且严格控制会议费支出。本年度培训费支出 3.8万元，较上年决算数减少12.23万元，下降76.3%，主要原因是本年市外培训较少，且严格控制培训费支出。</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国有资产占用情况说明。截至2020年12月31日，本部门共有车辆15辆，其中，副部（省）级及以上领导用车0辆、主要领导干部用车0辆、机要通信用车1辆、应急保障用车7辆、执法执勤用车0辆，特种专业技术用车7辆，离退休干部用车0辆，其他用车0辆。单价50万元以上通用设备0台（套），单价100万元以上专用设备0台（套）。</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政府采购支出情况说明。2020年度本部门政府采购支出总额766.82万元，其中：政府采购货物支出2.88万元、政府采购工程支出625.94万元、政府采购服务支出138万元。授予中小企业合同金额766.82万元，占政府采购支出总额的100.0%，其中：授予小微企业合同金额597.97万元，占政府采购支出总额的78.0%。主要用于采购电脑、打印机、公路工程等。</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五、预算绩效管理情况说明</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（一）预算绩效管理工作开展情况（必须公开内容）</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根据预算绩效管理要求，单位对77个项目开展了绩效自评，以填报目标自评表形式开展自评77项，涉及资金5440万元。从评价情况来看，项目资金使用绩效总体较好，自评结果为“优”的项目占80%，自评结果为“良”的项目占15%，自评结果为“中”的项目占5%，根据年初设定的绩效目标，项目自评得分为85分，主要产出和效果：完成年初绩效申报目标，项目实施群众满意度较高。</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（二）绩效自评结果</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1.绩效目标自评表</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sectPr>
          <w:pgSz w:w="11906" w:h="16838"/>
          <w:pgMar w:top="1440" w:right="1800" w:bottom="1440" w:left="1800" w:header="851" w:footer="992" w:gutter="0"/>
          <w:cols w:space="425" w:num="1"/>
          <w:docGrid w:type="lines" w:linePitch="312" w:charSpace="0"/>
        </w:sectPr>
      </w:pPr>
    </w:p>
    <w:p>
      <w:pPr>
        <w:pStyle w:val="2"/>
        <w:widowControl/>
        <w:spacing w:beforeAutospacing="0" w:afterAutospacing="0" w:line="560" w:lineRule="exact"/>
        <w:jc w:val="both"/>
        <w:rPr>
          <w:rFonts w:ascii="方正仿宋_GBK" w:hAnsi="方正仿宋_GBK" w:eastAsia="方正仿宋_GBK" w:cs="方正仿宋_GBK"/>
          <w:color w:val="000000"/>
          <w:sz w:val="32"/>
          <w:szCs w:val="32"/>
        </w:rPr>
      </w:pPr>
    </w:p>
    <w:p>
      <w:pPr>
        <w:pStyle w:val="2"/>
        <w:widowControl/>
        <w:spacing w:beforeAutospacing="0" w:afterAutospacing="0" w:line="368" w:lineRule="atLeast"/>
        <w:jc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项目绩效自评表</w:t>
      </w:r>
    </w:p>
    <w:tbl>
      <w:tblPr>
        <w:tblStyle w:val="4"/>
        <w:tblW w:w="12339" w:type="dxa"/>
        <w:jc w:val="center"/>
        <w:tblInd w:w="894"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20" w:type="dxa"/>
          <w:bottom w:w="60" w:type="dxa"/>
          <w:right w:w="120" w:type="dxa"/>
        </w:tblCellMar>
      </w:tblPr>
      <w:tblGrid>
        <w:gridCol w:w="734"/>
        <w:gridCol w:w="1337"/>
        <w:gridCol w:w="391"/>
        <w:gridCol w:w="444"/>
        <w:gridCol w:w="296"/>
        <w:gridCol w:w="371"/>
        <w:gridCol w:w="508"/>
        <w:gridCol w:w="1027"/>
        <w:gridCol w:w="892"/>
        <w:gridCol w:w="1207"/>
        <w:gridCol w:w="669"/>
        <w:gridCol w:w="1027"/>
        <w:gridCol w:w="922"/>
        <w:gridCol w:w="1117"/>
        <w:gridCol w:w="371"/>
        <w:gridCol w:w="102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20" w:type="dxa"/>
            <w:bottom w:w="60" w:type="dxa"/>
            <w:right w:w="120" w:type="dxa"/>
          </w:tblCellMar>
        </w:tblPrEx>
        <w:trPr>
          <w:trHeight w:val="572"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项目</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名称</w:t>
            </w:r>
          </w:p>
        </w:tc>
        <w:tc>
          <w:tcPr>
            <w:tcW w:w="2172" w:type="dxa"/>
            <w:gridSpan w:val="3"/>
            <w:tcBorders>
              <w:top w:val="single" w:color="auto" w:sz="4" w:space="0"/>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2018年四好农村路建设资金</w:t>
            </w:r>
          </w:p>
        </w:tc>
        <w:tc>
          <w:tcPr>
            <w:tcW w:w="2202" w:type="dxa"/>
            <w:gridSpan w:val="4"/>
            <w:tcBorders>
              <w:top w:val="single" w:color="auto" w:sz="4" w:space="0"/>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项目</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编码</w:t>
            </w:r>
          </w:p>
        </w:tc>
        <w:tc>
          <w:tcPr>
            <w:tcW w:w="892" w:type="dxa"/>
            <w:tcBorders>
              <w:top w:val="single" w:color="auto" w:sz="4" w:space="0"/>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无</w:t>
            </w:r>
          </w:p>
        </w:tc>
        <w:tc>
          <w:tcPr>
            <w:tcW w:w="1207" w:type="dxa"/>
            <w:tcBorders>
              <w:top w:val="single" w:color="auto" w:sz="4" w:space="0"/>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both"/>
              <w:rPr>
                <w:rFonts w:ascii="宋体" w:hAnsi="宋体" w:eastAsia="宋体" w:cs="宋体"/>
                <w:sz w:val="15"/>
                <w:szCs w:val="15"/>
              </w:rPr>
            </w:pPr>
            <w:r>
              <w:rPr>
                <w:rFonts w:hint="eastAsia" w:ascii="宋体" w:hAnsi="宋体" w:eastAsia="宋体" w:cs="宋体"/>
                <w:color w:val="000000"/>
                <w:sz w:val="15"/>
                <w:szCs w:val="15"/>
              </w:rPr>
              <w:t>自评总分（分）</w:t>
            </w:r>
          </w:p>
        </w:tc>
        <w:tc>
          <w:tcPr>
            <w:tcW w:w="5132" w:type="dxa"/>
            <w:gridSpan w:val="6"/>
            <w:tcBorders>
              <w:top w:val="single" w:color="auto" w:sz="4" w:space="0"/>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20" w:type="dxa"/>
            <w:bottom w:w="60" w:type="dxa"/>
            <w:right w:w="120" w:type="dxa"/>
          </w:tblCellMar>
        </w:tblPrEx>
        <w:trPr>
          <w:trHeight w:val="385" w:hRule="atLeast"/>
          <w:jc w:val="center"/>
        </w:trPr>
        <w:tc>
          <w:tcPr>
            <w:tcW w:w="734" w:type="dxa"/>
            <w:tcBorders>
              <w:top w:val="nil"/>
              <w:left w:val="single" w:color="auto" w:sz="4" w:space="0"/>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主管</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部门</w:t>
            </w:r>
          </w:p>
        </w:tc>
        <w:tc>
          <w:tcPr>
            <w:tcW w:w="2172" w:type="dxa"/>
            <w:gridSpan w:val="3"/>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区交通局</w:t>
            </w:r>
          </w:p>
        </w:tc>
        <w:tc>
          <w:tcPr>
            <w:tcW w:w="2202" w:type="dxa"/>
            <w:gridSpan w:val="4"/>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财政处室</w:t>
            </w:r>
          </w:p>
        </w:tc>
        <w:tc>
          <w:tcPr>
            <w:tcW w:w="892"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经建科</w:t>
            </w:r>
          </w:p>
        </w:tc>
        <w:tc>
          <w:tcPr>
            <w:tcW w:w="120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both"/>
              <w:rPr>
                <w:rFonts w:ascii="宋体" w:hAnsi="宋体" w:eastAsia="宋体" w:cs="宋体"/>
                <w:sz w:val="15"/>
                <w:szCs w:val="15"/>
              </w:rPr>
            </w:pPr>
            <w:r>
              <w:rPr>
                <w:rFonts w:hint="eastAsia" w:ascii="宋体" w:hAnsi="宋体" w:eastAsia="宋体" w:cs="宋体"/>
                <w:color w:val="000000"/>
                <w:sz w:val="15"/>
                <w:szCs w:val="15"/>
              </w:rPr>
              <w:t>项目联系人</w:t>
            </w:r>
          </w:p>
        </w:tc>
        <w:tc>
          <w:tcPr>
            <w:tcW w:w="669"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陈锡武</w:t>
            </w:r>
          </w:p>
        </w:tc>
        <w:tc>
          <w:tcPr>
            <w:tcW w:w="1949"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联系电话</w:t>
            </w:r>
          </w:p>
        </w:tc>
        <w:tc>
          <w:tcPr>
            <w:tcW w:w="2514" w:type="dxa"/>
            <w:gridSpan w:val="3"/>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hint="eastAsia" w:ascii="宋体" w:hAnsi="宋体" w:eastAsia="宋体" w:cs="宋体"/>
                <w:sz w:val="15"/>
                <w:szCs w:val="15"/>
                <w:lang w:val="en-US" w:eastAsia="zh-CN"/>
              </w:rPr>
            </w:pPr>
            <w:r>
              <w:rPr>
                <w:rFonts w:hint="eastAsia" w:ascii="宋体" w:hAnsi="宋体" w:eastAsia="宋体" w:cs="宋体"/>
                <w:color w:val="000000"/>
                <w:sz w:val="15"/>
                <w:szCs w:val="15"/>
                <w:lang w:val="en-US" w:eastAsia="zh-CN"/>
              </w:rPr>
              <w:t>023-66416861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20" w:type="dxa"/>
            <w:bottom w:w="60" w:type="dxa"/>
            <w:right w:w="120" w:type="dxa"/>
          </w:tblCellMar>
        </w:tblPrEx>
        <w:trPr>
          <w:trHeight w:val="421" w:hRule="atLeast"/>
          <w:jc w:val="center"/>
        </w:trPr>
        <w:tc>
          <w:tcPr>
            <w:tcW w:w="734" w:type="dxa"/>
            <w:vMerge w:val="restart"/>
            <w:tcBorders>
              <w:top w:val="nil"/>
              <w:left w:val="single" w:color="auto" w:sz="4" w:space="0"/>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ind w:left="96" w:right="96"/>
              <w:jc w:val="center"/>
              <w:rPr>
                <w:rFonts w:ascii="宋体" w:hAnsi="宋体" w:eastAsia="宋体" w:cs="宋体"/>
                <w:sz w:val="15"/>
                <w:szCs w:val="15"/>
              </w:rPr>
            </w:pPr>
            <w:r>
              <w:rPr>
                <w:rFonts w:hint="eastAsia" w:ascii="宋体" w:hAnsi="宋体" w:eastAsia="宋体" w:cs="宋体"/>
                <w:color w:val="000000"/>
                <w:sz w:val="15"/>
                <w:szCs w:val="15"/>
              </w:rPr>
              <w:t>项目资金（万元）</w:t>
            </w:r>
          </w:p>
        </w:tc>
        <w:tc>
          <w:tcPr>
            <w:tcW w:w="1337" w:type="dxa"/>
            <w:vMerge w:val="restart"/>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年度</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总金额</w:t>
            </w:r>
          </w:p>
        </w:tc>
        <w:tc>
          <w:tcPr>
            <w:tcW w:w="1502" w:type="dxa"/>
            <w:gridSpan w:val="4"/>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年初预算数</w:t>
            </w:r>
          </w:p>
        </w:tc>
        <w:tc>
          <w:tcPr>
            <w:tcW w:w="2427" w:type="dxa"/>
            <w:gridSpan w:val="3"/>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全年（调整）预算数</w:t>
            </w:r>
          </w:p>
        </w:tc>
        <w:tc>
          <w:tcPr>
            <w:tcW w:w="1876"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全年执行数</w:t>
            </w:r>
          </w:p>
        </w:tc>
        <w:tc>
          <w:tcPr>
            <w:tcW w:w="1949"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执行率（%）</w:t>
            </w:r>
          </w:p>
        </w:tc>
        <w:tc>
          <w:tcPr>
            <w:tcW w:w="111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执行率</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权重</w:t>
            </w:r>
          </w:p>
        </w:tc>
        <w:tc>
          <w:tcPr>
            <w:tcW w:w="1397"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执行率</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得分（分）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20" w:type="dxa"/>
            <w:bottom w:w="60" w:type="dxa"/>
            <w:right w:w="120" w:type="dxa"/>
          </w:tblCellMar>
        </w:tblPrEx>
        <w:trPr>
          <w:trHeight w:val="335" w:hRule="atLeast"/>
          <w:jc w:val="center"/>
        </w:trPr>
        <w:tc>
          <w:tcPr>
            <w:tcW w:w="734" w:type="dxa"/>
            <w:vMerge w:val="continue"/>
            <w:tcBorders>
              <w:top w:val="nil"/>
              <w:left w:val="single" w:color="auto" w:sz="4" w:space="0"/>
              <w:bottom w:val="single" w:color="auto" w:sz="4" w:space="0"/>
              <w:right w:val="single" w:color="auto" w:sz="4" w:space="0"/>
            </w:tcBorders>
            <w:shd w:val="clear" w:color="auto" w:fill="auto"/>
            <w:tcMar>
              <w:left w:w="84" w:type="dxa"/>
              <w:bottom w:w="0" w:type="dxa"/>
              <w:right w:w="84" w:type="dxa"/>
            </w:tcMar>
            <w:vAlign w:val="center"/>
          </w:tcPr>
          <w:p>
            <w:pPr>
              <w:widowControl/>
              <w:spacing w:line="240" w:lineRule="exact"/>
              <w:jc w:val="center"/>
              <w:rPr>
                <w:rFonts w:ascii="宋体" w:hAnsi="宋体" w:eastAsia="宋体" w:cs="宋体"/>
                <w:color w:val="000000"/>
                <w:sz w:val="15"/>
                <w:szCs w:val="15"/>
              </w:rPr>
            </w:pPr>
          </w:p>
        </w:tc>
        <w:tc>
          <w:tcPr>
            <w:tcW w:w="1337" w:type="dxa"/>
            <w:vMerge w:val="continue"/>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widowControl/>
              <w:spacing w:line="240" w:lineRule="exact"/>
              <w:jc w:val="center"/>
              <w:rPr>
                <w:rFonts w:ascii="宋体" w:hAnsi="宋体" w:eastAsia="宋体" w:cs="宋体"/>
                <w:color w:val="000000"/>
                <w:sz w:val="15"/>
                <w:szCs w:val="15"/>
              </w:rPr>
            </w:pPr>
          </w:p>
        </w:tc>
        <w:tc>
          <w:tcPr>
            <w:tcW w:w="1502" w:type="dxa"/>
            <w:gridSpan w:val="4"/>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133.92157</w:t>
            </w:r>
          </w:p>
        </w:tc>
        <w:tc>
          <w:tcPr>
            <w:tcW w:w="2427" w:type="dxa"/>
            <w:gridSpan w:val="3"/>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133.92157</w:t>
            </w:r>
          </w:p>
        </w:tc>
        <w:tc>
          <w:tcPr>
            <w:tcW w:w="1876"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133.92157</w:t>
            </w:r>
          </w:p>
        </w:tc>
        <w:tc>
          <w:tcPr>
            <w:tcW w:w="1949"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100%</w:t>
            </w:r>
          </w:p>
        </w:tc>
        <w:tc>
          <w:tcPr>
            <w:tcW w:w="111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w:t>
            </w:r>
          </w:p>
        </w:tc>
        <w:tc>
          <w:tcPr>
            <w:tcW w:w="1397"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20" w:type="dxa"/>
            <w:bottom w:w="60" w:type="dxa"/>
            <w:right w:w="120" w:type="dxa"/>
          </w:tblCellMar>
        </w:tblPrEx>
        <w:trPr>
          <w:trHeight w:val="565" w:hRule="atLeast"/>
          <w:jc w:val="center"/>
        </w:trPr>
        <w:tc>
          <w:tcPr>
            <w:tcW w:w="734" w:type="dxa"/>
            <w:vMerge w:val="continue"/>
            <w:tcBorders>
              <w:top w:val="nil"/>
              <w:left w:val="single" w:color="auto" w:sz="4" w:space="0"/>
              <w:bottom w:val="single" w:color="auto" w:sz="4" w:space="0"/>
              <w:right w:val="single" w:color="auto" w:sz="4" w:space="0"/>
            </w:tcBorders>
            <w:shd w:val="clear" w:color="auto" w:fill="auto"/>
            <w:tcMar>
              <w:left w:w="84" w:type="dxa"/>
              <w:bottom w:w="0" w:type="dxa"/>
              <w:right w:w="84" w:type="dxa"/>
            </w:tcMar>
            <w:vAlign w:val="center"/>
          </w:tcPr>
          <w:p>
            <w:pPr>
              <w:widowControl/>
              <w:spacing w:line="240" w:lineRule="exact"/>
              <w:jc w:val="center"/>
              <w:rPr>
                <w:rFonts w:ascii="宋体" w:hAnsi="宋体" w:eastAsia="宋体" w:cs="宋体"/>
                <w:color w:val="000000"/>
                <w:sz w:val="15"/>
                <w:szCs w:val="15"/>
              </w:rPr>
            </w:pPr>
          </w:p>
        </w:tc>
        <w:tc>
          <w:tcPr>
            <w:tcW w:w="133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其中：</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市级支出</w:t>
            </w:r>
          </w:p>
        </w:tc>
        <w:tc>
          <w:tcPr>
            <w:tcW w:w="1502" w:type="dxa"/>
            <w:gridSpan w:val="4"/>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widowControl/>
              <w:wordWrap w:val="0"/>
              <w:spacing w:line="240" w:lineRule="exact"/>
              <w:ind w:firstLine="288"/>
              <w:jc w:val="center"/>
              <w:rPr>
                <w:rFonts w:ascii="宋体" w:hAnsi="宋体" w:eastAsia="宋体" w:cs="宋体"/>
                <w:color w:val="000000"/>
                <w:sz w:val="15"/>
                <w:szCs w:val="15"/>
              </w:rPr>
            </w:pPr>
          </w:p>
        </w:tc>
        <w:tc>
          <w:tcPr>
            <w:tcW w:w="2427" w:type="dxa"/>
            <w:gridSpan w:val="3"/>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widowControl/>
              <w:wordWrap w:val="0"/>
              <w:spacing w:line="240" w:lineRule="exact"/>
              <w:ind w:firstLine="288"/>
              <w:jc w:val="center"/>
              <w:rPr>
                <w:rFonts w:ascii="宋体" w:hAnsi="宋体" w:eastAsia="宋体" w:cs="宋体"/>
                <w:color w:val="000000"/>
                <w:sz w:val="15"/>
                <w:szCs w:val="15"/>
              </w:rPr>
            </w:pPr>
          </w:p>
        </w:tc>
        <w:tc>
          <w:tcPr>
            <w:tcW w:w="1876"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widowControl/>
              <w:wordWrap w:val="0"/>
              <w:spacing w:line="240" w:lineRule="exact"/>
              <w:ind w:firstLine="288"/>
              <w:jc w:val="center"/>
              <w:rPr>
                <w:rFonts w:ascii="宋体" w:hAnsi="宋体" w:eastAsia="宋体" w:cs="宋体"/>
                <w:color w:val="000000"/>
                <w:sz w:val="15"/>
                <w:szCs w:val="15"/>
              </w:rPr>
            </w:pPr>
          </w:p>
        </w:tc>
        <w:tc>
          <w:tcPr>
            <w:tcW w:w="1949"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widowControl/>
              <w:wordWrap w:val="0"/>
              <w:spacing w:line="240" w:lineRule="exact"/>
              <w:ind w:firstLine="288"/>
              <w:jc w:val="center"/>
              <w:rPr>
                <w:rFonts w:ascii="宋体" w:hAnsi="宋体" w:eastAsia="宋体" w:cs="宋体"/>
                <w:color w:val="000000"/>
                <w:sz w:val="15"/>
                <w:szCs w:val="15"/>
              </w:rPr>
            </w:pPr>
          </w:p>
        </w:tc>
        <w:tc>
          <w:tcPr>
            <w:tcW w:w="111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widowControl/>
              <w:wordWrap w:val="0"/>
              <w:spacing w:line="240" w:lineRule="exact"/>
              <w:ind w:firstLine="288"/>
              <w:jc w:val="center"/>
              <w:rPr>
                <w:rFonts w:ascii="宋体" w:hAnsi="宋体" w:eastAsia="宋体" w:cs="宋体"/>
                <w:color w:val="000000"/>
                <w:sz w:val="15"/>
                <w:szCs w:val="15"/>
              </w:rPr>
            </w:pPr>
          </w:p>
        </w:tc>
        <w:tc>
          <w:tcPr>
            <w:tcW w:w="1397"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widowControl/>
              <w:wordWrap w:val="0"/>
              <w:spacing w:line="240" w:lineRule="exact"/>
              <w:ind w:firstLine="288"/>
              <w:jc w:val="center"/>
              <w:rPr>
                <w:rFonts w:ascii="宋体" w:hAnsi="宋体" w:eastAsia="宋体" w:cs="宋体"/>
                <w:color w:val="000000"/>
                <w:sz w:val="15"/>
                <w:szCs w:val="15"/>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20" w:type="dxa"/>
            <w:bottom w:w="60" w:type="dxa"/>
            <w:right w:w="120" w:type="dxa"/>
          </w:tblCellMar>
        </w:tblPrEx>
        <w:trPr>
          <w:trHeight w:val="335" w:hRule="atLeast"/>
          <w:jc w:val="center"/>
        </w:trPr>
        <w:tc>
          <w:tcPr>
            <w:tcW w:w="734" w:type="dxa"/>
            <w:vMerge w:val="continue"/>
            <w:tcBorders>
              <w:top w:val="nil"/>
              <w:left w:val="single" w:color="auto" w:sz="4" w:space="0"/>
              <w:bottom w:val="single" w:color="auto" w:sz="4" w:space="0"/>
              <w:right w:val="single" w:color="auto" w:sz="4" w:space="0"/>
            </w:tcBorders>
            <w:shd w:val="clear" w:color="auto" w:fill="auto"/>
            <w:tcMar>
              <w:left w:w="84" w:type="dxa"/>
              <w:bottom w:w="0" w:type="dxa"/>
              <w:right w:w="84" w:type="dxa"/>
            </w:tcMar>
            <w:vAlign w:val="center"/>
          </w:tcPr>
          <w:p>
            <w:pPr>
              <w:widowControl/>
              <w:spacing w:line="240" w:lineRule="exact"/>
              <w:jc w:val="center"/>
              <w:rPr>
                <w:rFonts w:ascii="宋体" w:hAnsi="宋体" w:eastAsia="宋体" w:cs="宋体"/>
                <w:color w:val="000000"/>
                <w:sz w:val="15"/>
                <w:szCs w:val="15"/>
              </w:rPr>
            </w:pPr>
          </w:p>
        </w:tc>
        <w:tc>
          <w:tcPr>
            <w:tcW w:w="133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补助区县</w:t>
            </w:r>
          </w:p>
        </w:tc>
        <w:tc>
          <w:tcPr>
            <w:tcW w:w="1502" w:type="dxa"/>
            <w:gridSpan w:val="4"/>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widowControl/>
              <w:wordWrap w:val="0"/>
              <w:spacing w:line="240" w:lineRule="exact"/>
              <w:ind w:firstLine="288"/>
              <w:jc w:val="center"/>
              <w:rPr>
                <w:rFonts w:ascii="宋体" w:hAnsi="宋体" w:eastAsia="宋体" w:cs="宋体"/>
                <w:color w:val="000000"/>
                <w:sz w:val="15"/>
                <w:szCs w:val="15"/>
              </w:rPr>
            </w:pPr>
          </w:p>
        </w:tc>
        <w:tc>
          <w:tcPr>
            <w:tcW w:w="2427" w:type="dxa"/>
            <w:gridSpan w:val="3"/>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widowControl/>
              <w:wordWrap w:val="0"/>
              <w:spacing w:line="240" w:lineRule="exact"/>
              <w:ind w:firstLine="288"/>
              <w:jc w:val="center"/>
              <w:rPr>
                <w:rFonts w:ascii="宋体" w:hAnsi="宋体" w:eastAsia="宋体" w:cs="宋体"/>
                <w:color w:val="000000"/>
                <w:sz w:val="15"/>
                <w:szCs w:val="15"/>
              </w:rPr>
            </w:pPr>
          </w:p>
        </w:tc>
        <w:tc>
          <w:tcPr>
            <w:tcW w:w="1876"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widowControl/>
              <w:wordWrap w:val="0"/>
              <w:spacing w:line="240" w:lineRule="exact"/>
              <w:ind w:firstLine="288"/>
              <w:jc w:val="center"/>
              <w:rPr>
                <w:rFonts w:ascii="宋体" w:hAnsi="宋体" w:eastAsia="宋体" w:cs="宋体"/>
                <w:color w:val="000000"/>
                <w:sz w:val="15"/>
                <w:szCs w:val="15"/>
              </w:rPr>
            </w:pPr>
          </w:p>
        </w:tc>
        <w:tc>
          <w:tcPr>
            <w:tcW w:w="1949"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widowControl/>
              <w:wordWrap w:val="0"/>
              <w:spacing w:line="240" w:lineRule="exact"/>
              <w:ind w:firstLine="288"/>
              <w:jc w:val="center"/>
              <w:rPr>
                <w:rFonts w:ascii="宋体" w:hAnsi="宋体" w:eastAsia="宋体" w:cs="宋体"/>
                <w:color w:val="000000"/>
                <w:sz w:val="15"/>
                <w:szCs w:val="15"/>
              </w:rPr>
            </w:pPr>
          </w:p>
        </w:tc>
        <w:tc>
          <w:tcPr>
            <w:tcW w:w="111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widowControl/>
              <w:wordWrap w:val="0"/>
              <w:spacing w:line="240" w:lineRule="exact"/>
              <w:ind w:firstLine="288"/>
              <w:jc w:val="center"/>
              <w:rPr>
                <w:rFonts w:ascii="宋体" w:hAnsi="宋体" w:eastAsia="宋体" w:cs="宋体"/>
                <w:color w:val="000000"/>
                <w:sz w:val="15"/>
                <w:szCs w:val="15"/>
              </w:rPr>
            </w:pPr>
          </w:p>
        </w:tc>
        <w:tc>
          <w:tcPr>
            <w:tcW w:w="1397"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widowControl/>
              <w:wordWrap w:val="0"/>
              <w:spacing w:line="240" w:lineRule="exact"/>
              <w:ind w:firstLine="288"/>
              <w:jc w:val="center"/>
              <w:rPr>
                <w:rFonts w:ascii="宋体" w:hAnsi="宋体" w:eastAsia="宋体" w:cs="宋体"/>
                <w:color w:val="000000"/>
                <w:sz w:val="15"/>
                <w:szCs w:val="15"/>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20" w:type="dxa"/>
            <w:bottom w:w="60" w:type="dxa"/>
            <w:right w:w="120" w:type="dxa"/>
          </w:tblCellMar>
        </w:tblPrEx>
        <w:trPr>
          <w:trHeight w:val="335" w:hRule="atLeast"/>
          <w:jc w:val="center"/>
        </w:trPr>
        <w:tc>
          <w:tcPr>
            <w:tcW w:w="734" w:type="dxa"/>
            <w:vMerge w:val="restart"/>
            <w:tcBorders>
              <w:top w:val="nil"/>
              <w:left w:val="single" w:color="auto" w:sz="4" w:space="0"/>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当年绩效目标</w:t>
            </w:r>
          </w:p>
        </w:tc>
        <w:tc>
          <w:tcPr>
            <w:tcW w:w="4374" w:type="dxa"/>
            <w:gridSpan w:val="7"/>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年初绩效目标</w:t>
            </w:r>
          </w:p>
        </w:tc>
        <w:tc>
          <w:tcPr>
            <w:tcW w:w="2768" w:type="dxa"/>
            <w:gridSpan w:val="3"/>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全年（调整）绩效目标</w:t>
            </w:r>
          </w:p>
        </w:tc>
        <w:tc>
          <w:tcPr>
            <w:tcW w:w="4463" w:type="dxa"/>
            <w:gridSpan w:val="5"/>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全年目标实际完成情况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20" w:type="dxa"/>
            <w:bottom w:w="60" w:type="dxa"/>
            <w:right w:w="120" w:type="dxa"/>
          </w:tblCellMar>
        </w:tblPrEx>
        <w:trPr>
          <w:trHeight w:val="1568" w:hRule="atLeast"/>
          <w:jc w:val="center"/>
        </w:trPr>
        <w:tc>
          <w:tcPr>
            <w:tcW w:w="734" w:type="dxa"/>
            <w:vMerge w:val="continue"/>
            <w:tcBorders>
              <w:top w:val="nil"/>
              <w:left w:val="single" w:color="auto" w:sz="4" w:space="0"/>
              <w:bottom w:val="single" w:color="auto" w:sz="4" w:space="0"/>
              <w:right w:val="single" w:color="auto" w:sz="4" w:space="0"/>
            </w:tcBorders>
            <w:shd w:val="clear" w:color="auto" w:fill="auto"/>
            <w:tcMar>
              <w:left w:w="84" w:type="dxa"/>
              <w:bottom w:w="0" w:type="dxa"/>
              <w:right w:w="84" w:type="dxa"/>
            </w:tcMar>
            <w:vAlign w:val="center"/>
          </w:tcPr>
          <w:p>
            <w:pPr>
              <w:widowControl/>
              <w:spacing w:line="240" w:lineRule="exact"/>
              <w:jc w:val="center"/>
              <w:rPr>
                <w:rFonts w:ascii="宋体" w:hAnsi="宋体" w:eastAsia="宋体" w:cs="宋体"/>
                <w:color w:val="000000"/>
                <w:sz w:val="15"/>
                <w:szCs w:val="15"/>
              </w:rPr>
            </w:pPr>
          </w:p>
        </w:tc>
        <w:tc>
          <w:tcPr>
            <w:tcW w:w="4374" w:type="dxa"/>
            <w:gridSpan w:val="7"/>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 根据重庆市巴南区人民政府办公室关于下达2018年“四好农村路”建设计划的通知（巴南府办﹝2018﹞114号），2020年建设四好农村路42.2公里，按照20cm厚4.5米宽C30砼路面标准进行建设。该项目的实施将方便群众出行，带动产业发展和道路沿线周边农村经济发展，可持续带动周边农户增加收入，助力乡村振兴。</w:t>
            </w:r>
          </w:p>
        </w:tc>
        <w:tc>
          <w:tcPr>
            <w:tcW w:w="2768" w:type="dxa"/>
            <w:gridSpan w:val="3"/>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ind w:left="168" w:hanging="168"/>
              <w:jc w:val="center"/>
              <w:rPr>
                <w:rFonts w:ascii="宋体" w:hAnsi="宋体" w:eastAsia="宋体" w:cs="宋体"/>
                <w:sz w:val="15"/>
                <w:szCs w:val="15"/>
              </w:rPr>
            </w:pPr>
            <w:r>
              <w:rPr>
                <w:rFonts w:hint="eastAsia" w:ascii="宋体" w:hAnsi="宋体" w:eastAsia="宋体" w:cs="宋体"/>
                <w:color w:val="000000"/>
                <w:sz w:val="15"/>
                <w:szCs w:val="15"/>
              </w:rPr>
              <w:t>无</w:t>
            </w:r>
          </w:p>
        </w:tc>
        <w:tc>
          <w:tcPr>
            <w:tcW w:w="4463" w:type="dxa"/>
            <w:gridSpan w:val="5"/>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2020年硬化四好农村路41.361公里，按照20cm厚4.5米宽C30砼路面标准进行建设。该项目的实施方便了群众出行，带动产业发展和道路沿线周边农村经济发展，可持续带动周边农户增加收入，助力乡村振兴。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20" w:type="dxa"/>
            <w:bottom w:w="60" w:type="dxa"/>
            <w:right w:w="120" w:type="dxa"/>
          </w:tblCellMar>
        </w:tblPrEx>
        <w:trPr>
          <w:trHeight w:val="770" w:hRule="atLeast"/>
          <w:jc w:val="center"/>
        </w:trPr>
        <w:tc>
          <w:tcPr>
            <w:tcW w:w="734" w:type="dxa"/>
            <w:vMerge w:val="restart"/>
            <w:tcBorders>
              <w:top w:val="nil"/>
              <w:left w:val="single" w:color="auto" w:sz="4" w:space="0"/>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绩效指标</w:t>
            </w:r>
          </w:p>
        </w:tc>
        <w:tc>
          <w:tcPr>
            <w:tcW w:w="1728"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指标名称</w:t>
            </w:r>
          </w:p>
        </w:tc>
        <w:tc>
          <w:tcPr>
            <w:tcW w:w="740"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计量单位</w:t>
            </w:r>
          </w:p>
        </w:tc>
        <w:tc>
          <w:tcPr>
            <w:tcW w:w="879"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指标</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性质</w:t>
            </w:r>
          </w:p>
        </w:tc>
        <w:tc>
          <w:tcPr>
            <w:tcW w:w="102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年初</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指标</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值</w:t>
            </w:r>
          </w:p>
        </w:tc>
        <w:tc>
          <w:tcPr>
            <w:tcW w:w="892"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调整</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指标</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值</w:t>
            </w:r>
          </w:p>
        </w:tc>
        <w:tc>
          <w:tcPr>
            <w:tcW w:w="1876"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全年完成值</w:t>
            </w:r>
          </w:p>
        </w:tc>
        <w:tc>
          <w:tcPr>
            <w:tcW w:w="102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得分</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系数</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w:t>
            </w:r>
          </w:p>
        </w:tc>
        <w:tc>
          <w:tcPr>
            <w:tcW w:w="922"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指标</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权重</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（分）</w:t>
            </w:r>
          </w:p>
        </w:tc>
        <w:tc>
          <w:tcPr>
            <w:tcW w:w="1488"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指标</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得分</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（分）</w:t>
            </w:r>
          </w:p>
        </w:tc>
        <w:tc>
          <w:tcPr>
            <w:tcW w:w="1026"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是否核心</w:t>
            </w:r>
          </w:p>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指标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20" w:type="dxa"/>
            <w:bottom w:w="60" w:type="dxa"/>
            <w:right w:w="120" w:type="dxa"/>
          </w:tblCellMar>
        </w:tblPrEx>
        <w:trPr>
          <w:trHeight w:val="437" w:hRule="atLeast"/>
          <w:jc w:val="center"/>
        </w:trPr>
        <w:tc>
          <w:tcPr>
            <w:tcW w:w="734" w:type="dxa"/>
            <w:vMerge w:val="continue"/>
            <w:tcBorders>
              <w:top w:val="nil"/>
              <w:left w:val="single" w:color="auto" w:sz="4" w:space="0"/>
              <w:bottom w:val="single" w:color="auto" w:sz="4" w:space="0"/>
              <w:right w:val="single" w:color="auto" w:sz="4" w:space="0"/>
            </w:tcBorders>
            <w:shd w:val="clear" w:color="auto" w:fill="auto"/>
            <w:tcMar>
              <w:left w:w="84" w:type="dxa"/>
              <w:bottom w:w="0" w:type="dxa"/>
              <w:right w:w="84" w:type="dxa"/>
            </w:tcMar>
            <w:vAlign w:val="center"/>
          </w:tcPr>
          <w:p>
            <w:pPr>
              <w:widowControl/>
              <w:spacing w:line="240" w:lineRule="exact"/>
              <w:jc w:val="center"/>
              <w:rPr>
                <w:rFonts w:ascii="宋体" w:hAnsi="宋体" w:eastAsia="宋体" w:cs="宋体"/>
                <w:color w:val="000000"/>
                <w:sz w:val="15"/>
                <w:szCs w:val="15"/>
              </w:rPr>
            </w:pPr>
          </w:p>
        </w:tc>
        <w:tc>
          <w:tcPr>
            <w:tcW w:w="1728"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修建四好农村路里程</w:t>
            </w:r>
          </w:p>
        </w:tc>
        <w:tc>
          <w:tcPr>
            <w:tcW w:w="740"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公里</w:t>
            </w:r>
          </w:p>
        </w:tc>
        <w:tc>
          <w:tcPr>
            <w:tcW w:w="879"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w:t>
            </w:r>
          </w:p>
        </w:tc>
        <w:tc>
          <w:tcPr>
            <w:tcW w:w="102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42.2公里</w:t>
            </w:r>
          </w:p>
        </w:tc>
        <w:tc>
          <w:tcPr>
            <w:tcW w:w="892"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无</w:t>
            </w:r>
          </w:p>
        </w:tc>
        <w:tc>
          <w:tcPr>
            <w:tcW w:w="1876"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42.2公里</w:t>
            </w:r>
          </w:p>
        </w:tc>
        <w:tc>
          <w:tcPr>
            <w:tcW w:w="102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100%</w:t>
            </w:r>
          </w:p>
        </w:tc>
        <w:tc>
          <w:tcPr>
            <w:tcW w:w="922"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20</w:t>
            </w:r>
          </w:p>
        </w:tc>
        <w:tc>
          <w:tcPr>
            <w:tcW w:w="1488"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20</w:t>
            </w:r>
          </w:p>
        </w:tc>
        <w:tc>
          <w:tcPr>
            <w:tcW w:w="1026"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20" w:type="dxa"/>
            <w:bottom w:w="60" w:type="dxa"/>
            <w:right w:w="120" w:type="dxa"/>
          </w:tblCellMar>
        </w:tblPrEx>
        <w:trPr>
          <w:trHeight w:val="493" w:hRule="atLeast"/>
          <w:jc w:val="center"/>
        </w:trPr>
        <w:tc>
          <w:tcPr>
            <w:tcW w:w="734" w:type="dxa"/>
            <w:vMerge w:val="continue"/>
            <w:tcBorders>
              <w:top w:val="nil"/>
              <w:left w:val="single" w:color="auto" w:sz="4" w:space="0"/>
              <w:bottom w:val="single" w:color="auto" w:sz="4" w:space="0"/>
              <w:right w:val="single" w:color="auto" w:sz="4" w:space="0"/>
            </w:tcBorders>
            <w:shd w:val="clear" w:color="auto" w:fill="auto"/>
            <w:tcMar>
              <w:left w:w="84" w:type="dxa"/>
              <w:bottom w:w="0" w:type="dxa"/>
              <w:right w:w="84" w:type="dxa"/>
            </w:tcMar>
            <w:vAlign w:val="center"/>
          </w:tcPr>
          <w:p>
            <w:pPr>
              <w:widowControl/>
              <w:spacing w:line="240" w:lineRule="exact"/>
              <w:jc w:val="center"/>
              <w:rPr>
                <w:rFonts w:ascii="宋体" w:hAnsi="宋体" w:eastAsia="宋体" w:cs="宋体"/>
                <w:color w:val="000000"/>
                <w:sz w:val="15"/>
                <w:szCs w:val="15"/>
              </w:rPr>
            </w:pPr>
          </w:p>
        </w:tc>
        <w:tc>
          <w:tcPr>
            <w:tcW w:w="1728"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项目（工程）验收合格率</w:t>
            </w:r>
          </w:p>
        </w:tc>
        <w:tc>
          <w:tcPr>
            <w:tcW w:w="740"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w:t>
            </w:r>
          </w:p>
        </w:tc>
        <w:tc>
          <w:tcPr>
            <w:tcW w:w="879"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w:t>
            </w:r>
          </w:p>
        </w:tc>
        <w:tc>
          <w:tcPr>
            <w:tcW w:w="102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100%</w:t>
            </w:r>
          </w:p>
        </w:tc>
        <w:tc>
          <w:tcPr>
            <w:tcW w:w="892"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无</w:t>
            </w:r>
          </w:p>
        </w:tc>
        <w:tc>
          <w:tcPr>
            <w:tcW w:w="1876"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100%</w:t>
            </w:r>
          </w:p>
        </w:tc>
        <w:tc>
          <w:tcPr>
            <w:tcW w:w="102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100%</w:t>
            </w:r>
          </w:p>
        </w:tc>
        <w:tc>
          <w:tcPr>
            <w:tcW w:w="922"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20</w:t>
            </w:r>
          </w:p>
        </w:tc>
        <w:tc>
          <w:tcPr>
            <w:tcW w:w="1488"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20</w:t>
            </w:r>
          </w:p>
        </w:tc>
        <w:tc>
          <w:tcPr>
            <w:tcW w:w="1026"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20" w:type="dxa"/>
            <w:bottom w:w="60" w:type="dxa"/>
            <w:right w:w="120" w:type="dxa"/>
          </w:tblCellMar>
        </w:tblPrEx>
        <w:trPr>
          <w:trHeight w:val="589" w:hRule="atLeast"/>
          <w:jc w:val="center"/>
        </w:trPr>
        <w:tc>
          <w:tcPr>
            <w:tcW w:w="734" w:type="dxa"/>
            <w:vMerge w:val="continue"/>
            <w:tcBorders>
              <w:top w:val="nil"/>
              <w:left w:val="single" w:color="auto" w:sz="4" w:space="0"/>
              <w:bottom w:val="single" w:color="auto" w:sz="4" w:space="0"/>
              <w:right w:val="single" w:color="auto" w:sz="4" w:space="0"/>
            </w:tcBorders>
            <w:shd w:val="clear" w:color="auto" w:fill="auto"/>
            <w:tcMar>
              <w:left w:w="84" w:type="dxa"/>
              <w:bottom w:w="0" w:type="dxa"/>
              <w:right w:w="84" w:type="dxa"/>
            </w:tcMar>
            <w:vAlign w:val="center"/>
          </w:tcPr>
          <w:p>
            <w:pPr>
              <w:widowControl/>
              <w:spacing w:line="240" w:lineRule="exact"/>
              <w:jc w:val="center"/>
              <w:rPr>
                <w:rFonts w:ascii="宋体" w:hAnsi="宋体" w:eastAsia="宋体" w:cs="宋体"/>
                <w:color w:val="000000"/>
                <w:sz w:val="15"/>
                <w:szCs w:val="15"/>
              </w:rPr>
            </w:pPr>
          </w:p>
        </w:tc>
        <w:tc>
          <w:tcPr>
            <w:tcW w:w="1728"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项目（工程）完成及时率</w:t>
            </w:r>
          </w:p>
        </w:tc>
        <w:tc>
          <w:tcPr>
            <w:tcW w:w="740"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w:t>
            </w:r>
          </w:p>
        </w:tc>
        <w:tc>
          <w:tcPr>
            <w:tcW w:w="879"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w:t>
            </w:r>
          </w:p>
        </w:tc>
        <w:tc>
          <w:tcPr>
            <w:tcW w:w="102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100%</w:t>
            </w:r>
          </w:p>
        </w:tc>
        <w:tc>
          <w:tcPr>
            <w:tcW w:w="892"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无</w:t>
            </w:r>
          </w:p>
        </w:tc>
        <w:tc>
          <w:tcPr>
            <w:tcW w:w="1876"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100%</w:t>
            </w:r>
          </w:p>
        </w:tc>
        <w:tc>
          <w:tcPr>
            <w:tcW w:w="102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100%</w:t>
            </w:r>
          </w:p>
        </w:tc>
        <w:tc>
          <w:tcPr>
            <w:tcW w:w="922"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w:t>
            </w:r>
          </w:p>
        </w:tc>
        <w:tc>
          <w:tcPr>
            <w:tcW w:w="1488"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w:t>
            </w:r>
          </w:p>
        </w:tc>
        <w:tc>
          <w:tcPr>
            <w:tcW w:w="1026"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20" w:type="dxa"/>
            <w:bottom w:w="60" w:type="dxa"/>
            <w:right w:w="120" w:type="dxa"/>
          </w:tblCellMar>
        </w:tblPrEx>
        <w:trPr>
          <w:trHeight w:val="603" w:hRule="atLeast"/>
          <w:jc w:val="center"/>
        </w:trPr>
        <w:tc>
          <w:tcPr>
            <w:tcW w:w="734" w:type="dxa"/>
            <w:vMerge w:val="continue"/>
            <w:tcBorders>
              <w:top w:val="nil"/>
              <w:left w:val="single" w:color="auto" w:sz="4" w:space="0"/>
              <w:bottom w:val="single" w:color="auto" w:sz="4" w:space="0"/>
              <w:right w:val="single" w:color="auto" w:sz="4" w:space="0"/>
            </w:tcBorders>
            <w:shd w:val="clear" w:color="auto" w:fill="auto"/>
            <w:tcMar>
              <w:left w:w="84" w:type="dxa"/>
              <w:bottom w:w="0" w:type="dxa"/>
              <w:right w:w="84" w:type="dxa"/>
            </w:tcMar>
            <w:vAlign w:val="center"/>
          </w:tcPr>
          <w:p>
            <w:pPr>
              <w:widowControl/>
              <w:spacing w:line="240" w:lineRule="exact"/>
              <w:jc w:val="center"/>
              <w:rPr>
                <w:rFonts w:ascii="宋体" w:hAnsi="宋体" w:eastAsia="宋体" w:cs="宋体"/>
                <w:color w:val="000000"/>
                <w:sz w:val="15"/>
                <w:szCs w:val="15"/>
              </w:rPr>
            </w:pPr>
          </w:p>
        </w:tc>
        <w:tc>
          <w:tcPr>
            <w:tcW w:w="1728"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带动产业发展和道路沿线周边农村经济发展</w:t>
            </w:r>
          </w:p>
        </w:tc>
        <w:tc>
          <w:tcPr>
            <w:tcW w:w="740"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无</w:t>
            </w:r>
          </w:p>
        </w:tc>
        <w:tc>
          <w:tcPr>
            <w:tcW w:w="879"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无</w:t>
            </w:r>
          </w:p>
        </w:tc>
        <w:tc>
          <w:tcPr>
            <w:tcW w:w="102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有效</w:t>
            </w:r>
          </w:p>
        </w:tc>
        <w:tc>
          <w:tcPr>
            <w:tcW w:w="892"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无</w:t>
            </w:r>
          </w:p>
        </w:tc>
        <w:tc>
          <w:tcPr>
            <w:tcW w:w="1876"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有效</w:t>
            </w:r>
          </w:p>
        </w:tc>
        <w:tc>
          <w:tcPr>
            <w:tcW w:w="102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100%</w:t>
            </w:r>
          </w:p>
        </w:tc>
        <w:tc>
          <w:tcPr>
            <w:tcW w:w="922"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w:t>
            </w:r>
          </w:p>
        </w:tc>
        <w:tc>
          <w:tcPr>
            <w:tcW w:w="1488"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w:t>
            </w:r>
          </w:p>
        </w:tc>
        <w:tc>
          <w:tcPr>
            <w:tcW w:w="1026"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20" w:type="dxa"/>
            <w:bottom w:w="60" w:type="dxa"/>
            <w:right w:w="120" w:type="dxa"/>
          </w:tblCellMar>
        </w:tblPrEx>
        <w:trPr>
          <w:trHeight w:val="613" w:hRule="atLeast"/>
          <w:jc w:val="center"/>
        </w:trPr>
        <w:tc>
          <w:tcPr>
            <w:tcW w:w="734" w:type="dxa"/>
            <w:vMerge w:val="continue"/>
            <w:tcBorders>
              <w:top w:val="nil"/>
              <w:left w:val="single" w:color="auto" w:sz="4" w:space="0"/>
              <w:bottom w:val="single" w:color="auto" w:sz="4" w:space="0"/>
              <w:right w:val="single" w:color="auto" w:sz="4" w:space="0"/>
            </w:tcBorders>
            <w:shd w:val="clear" w:color="auto" w:fill="auto"/>
            <w:tcMar>
              <w:left w:w="84" w:type="dxa"/>
              <w:bottom w:w="0" w:type="dxa"/>
              <w:right w:w="84" w:type="dxa"/>
            </w:tcMar>
            <w:vAlign w:val="center"/>
          </w:tcPr>
          <w:p>
            <w:pPr>
              <w:widowControl/>
              <w:spacing w:line="240" w:lineRule="exact"/>
              <w:jc w:val="center"/>
              <w:rPr>
                <w:rFonts w:ascii="宋体" w:hAnsi="宋体" w:eastAsia="宋体" w:cs="宋体"/>
                <w:color w:val="000000"/>
                <w:sz w:val="15"/>
                <w:szCs w:val="15"/>
              </w:rPr>
            </w:pPr>
          </w:p>
        </w:tc>
        <w:tc>
          <w:tcPr>
            <w:tcW w:w="1728"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提高广大居民出行效率及出行安全性</w:t>
            </w:r>
          </w:p>
        </w:tc>
        <w:tc>
          <w:tcPr>
            <w:tcW w:w="740"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无</w:t>
            </w:r>
          </w:p>
        </w:tc>
        <w:tc>
          <w:tcPr>
            <w:tcW w:w="879"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无</w:t>
            </w:r>
          </w:p>
        </w:tc>
        <w:tc>
          <w:tcPr>
            <w:tcW w:w="102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提高</w:t>
            </w:r>
          </w:p>
        </w:tc>
        <w:tc>
          <w:tcPr>
            <w:tcW w:w="892"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无</w:t>
            </w:r>
          </w:p>
        </w:tc>
        <w:tc>
          <w:tcPr>
            <w:tcW w:w="1876"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提高</w:t>
            </w:r>
          </w:p>
        </w:tc>
        <w:tc>
          <w:tcPr>
            <w:tcW w:w="102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100%</w:t>
            </w:r>
          </w:p>
        </w:tc>
        <w:tc>
          <w:tcPr>
            <w:tcW w:w="922"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20</w:t>
            </w:r>
          </w:p>
        </w:tc>
        <w:tc>
          <w:tcPr>
            <w:tcW w:w="1488"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20</w:t>
            </w:r>
          </w:p>
        </w:tc>
        <w:tc>
          <w:tcPr>
            <w:tcW w:w="1026"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20" w:type="dxa"/>
            <w:bottom w:w="60" w:type="dxa"/>
            <w:right w:w="120" w:type="dxa"/>
          </w:tblCellMar>
        </w:tblPrEx>
        <w:trPr>
          <w:trHeight w:val="335" w:hRule="atLeast"/>
          <w:jc w:val="center"/>
        </w:trPr>
        <w:tc>
          <w:tcPr>
            <w:tcW w:w="734" w:type="dxa"/>
            <w:vMerge w:val="continue"/>
            <w:tcBorders>
              <w:top w:val="nil"/>
              <w:left w:val="single" w:color="auto" w:sz="4" w:space="0"/>
              <w:bottom w:val="single" w:color="auto" w:sz="4" w:space="0"/>
              <w:right w:val="single" w:color="auto" w:sz="4" w:space="0"/>
            </w:tcBorders>
            <w:shd w:val="clear" w:color="auto" w:fill="auto"/>
            <w:tcMar>
              <w:left w:w="84" w:type="dxa"/>
              <w:bottom w:w="0" w:type="dxa"/>
              <w:right w:w="84" w:type="dxa"/>
            </w:tcMar>
            <w:vAlign w:val="center"/>
          </w:tcPr>
          <w:p>
            <w:pPr>
              <w:widowControl/>
              <w:spacing w:line="240" w:lineRule="exact"/>
              <w:jc w:val="center"/>
              <w:rPr>
                <w:rFonts w:ascii="宋体" w:hAnsi="宋体" w:eastAsia="宋体" w:cs="宋体"/>
                <w:color w:val="000000"/>
                <w:sz w:val="15"/>
                <w:szCs w:val="15"/>
              </w:rPr>
            </w:pPr>
          </w:p>
        </w:tc>
        <w:tc>
          <w:tcPr>
            <w:tcW w:w="1728"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群众满意度</w:t>
            </w:r>
          </w:p>
        </w:tc>
        <w:tc>
          <w:tcPr>
            <w:tcW w:w="740"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w:t>
            </w:r>
          </w:p>
        </w:tc>
        <w:tc>
          <w:tcPr>
            <w:tcW w:w="879"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w:t>
            </w:r>
          </w:p>
        </w:tc>
        <w:tc>
          <w:tcPr>
            <w:tcW w:w="102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98%</w:t>
            </w:r>
          </w:p>
        </w:tc>
        <w:tc>
          <w:tcPr>
            <w:tcW w:w="892"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无</w:t>
            </w:r>
          </w:p>
        </w:tc>
        <w:tc>
          <w:tcPr>
            <w:tcW w:w="1876"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98%</w:t>
            </w:r>
          </w:p>
        </w:tc>
        <w:tc>
          <w:tcPr>
            <w:tcW w:w="1027"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100%</w:t>
            </w:r>
          </w:p>
        </w:tc>
        <w:tc>
          <w:tcPr>
            <w:tcW w:w="922"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w:t>
            </w:r>
          </w:p>
        </w:tc>
        <w:tc>
          <w:tcPr>
            <w:tcW w:w="1488" w:type="dxa"/>
            <w:gridSpan w:val="2"/>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10</w:t>
            </w:r>
          </w:p>
        </w:tc>
        <w:tc>
          <w:tcPr>
            <w:tcW w:w="1026" w:type="dxa"/>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20" w:type="dxa"/>
            <w:bottom w:w="60" w:type="dxa"/>
            <w:right w:w="120" w:type="dxa"/>
          </w:tblCellMar>
        </w:tblPrEx>
        <w:trPr>
          <w:trHeight w:val="346" w:hRule="atLeast"/>
          <w:jc w:val="center"/>
        </w:trPr>
        <w:tc>
          <w:tcPr>
            <w:tcW w:w="734" w:type="dxa"/>
            <w:tcBorders>
              <w:top w:val="nil"/>
              <w:left w:val="single" w:color="auto" w:sz="4" w:space="0"/>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说明</w:t>
            </w:r>
          </w:p>
        </w:tc>
        <w:tc>
          <w:tcPr>
            <w:tcW w:w="11605" w:type="dxa"/>
            <w:gridSpan w:val="15"/>
            <w:tcBorders>
              <w:top w:val="nil"/>
              <w:left w:val="nil"/>
              <w:bottom w:val="single" w:color="auto" w:sz="4" w:space="0"/>
              <w:right w:val="single" w:color="auto" w:sz="4" w:space="0"/>
            </w:tcBorders>
            <w:shd w:val="clear" w:color="auto" w:fill="auto"/>
            <w:tcMar>
              <w:left w:w="84" w:type="dxa"/>
              <w:bottom w:w="0" w:type="dxa"/>
              <w:right w:w="84" w:type="dxa"/>
            </w:tcMar>
            <w:vAlign w:val="center"/>
          </w:tcPr>
          <w:p>
            <w:pPr>
              <w:pStyle w:val="2"/>
              <w:widowControl/>
              <w:wordWrap w:val="0"/>
              <w:spacing w:beforeAutospacing="0" w:afterAutospacing="0" w:line="240" w:lineRule="exact"/>
              <w:jc w:val="center"/>
              <w:rPr>
                <w:rFonts w:ascii="宋体" w:hAnsi="宋体" w:eastAsia="宋体" w:cs="宋体"/>
                <w:sz w:val="15"/>
                <w:szCs w:val="15"/>
              </w:rPr>
            </w:pPr>
            <w:r>
              <w:rPr>
                <w:rFonts w:hint="eastAsia" w:ascii="宋体" w:hAnsi="宋体" w:eastAsia="宋体" w:cs="宋体"/>
                <w:color w:val="000000"/>
                <w:sz w:val="15"/>
                <w:szCs w:val="15"/>
              </w:rPr>
              <w:t>无</w:t>
            </w:r>
          </w:p>
        </w:tc>
      </w:tr>
    </w:tbl>
    <w:p>
      <w:pPr>
        <w:pStyle w:val="2"/>
        <w:widowControl/>
        <w:spacing w:beforeAutospacing="0" w:afterAutospacing="0" w:line="420" w:lineRule="atLeast"/>
        <w:ind w:firstLine="420"/>
        <w:rPr>
          <w:rFonts w:ascii="sans-serif" w:hAnsi="sans-serif" w:eastAsia="sans-serif" w:cs="sans-serif"/>
          <w:color w:val="000000"/>
          <w:sz w:val="27"/>
          <w:szCs w:val="27"/>
        </w:rPr>
      </w:pPr>
    </w:p>
    <w:p>
      <w:pPr>
        <w:pStyle w:val="2"/>
        <w:widowControl/>
        <w:spacing w:beforeAutospacing="0" w:afterAutospacing="0" w:line="420" w:lineRule="atLeast"/>
        <w:ind w:firstLine="420"/>
        <w:rPr>
          <w:rFonts w:ascii="sans-serif" w:hAnsi="sans-serif" w:eastAsia="sans-serif" w:cs="sans-serif"/>
          <w:color w:val="000000"/>
          <w:sz w:val="27"/>
          <w:szCs w:val="27"/>
        </w:rPr>
      </w:pPr>
    </w:p>
    <w:p>
      <w:pPr>
        <w:pStyle w:val="2"/>
        <w:widowControl/>
        <w:spacing w:beforeAutospacing="0" w:afterAutospacing="0" w:line="420" w:lineRule="atLeast"/>
        <w:ind w:firstLine="420"/>
        <w:rPr>
          <w:rFonts w:ascii="sans-serif" w:hAnsi="sans-serif" w:eastAsia="sans-serif" w:cs="sans-serif"/>
          <w:color w:val="000000"/>
          <w:sz w:val="27"/>
          <w:szCs w:val="27"/>
        </w:rPr>
      </w:pPr>
    </w:p>
    <w:p>
      <w:pPr>
        <w:pStyle w:val="2"/>
        <w:widowControl/>
        <w:spacing w:beforeAutospacing="0" w:afterAutospacing="0" w:line="420" w:lineRule="atLeast"/>
        <w:ind w:firstLine="420"/>
        <w:rPr>
          <w:rFonts w:ascii="sans-serif" w:hAnsi="sans-serif" w:eastAsia="sans-serif" w:cs="sans-serif"/>
          <w:color w:val="000000"/>
          <w:sz w:val="27"/>
          <w:szCs w:val="27"/>
        </w:rPr>
      </w:pPr>
    </w:p>
    <w:p>
      <w:pPr>
        <w:pStyle w:val="2"/>
        <w:widowControl/>
        <w:spacing w:beforeAutospacing="0" w:afterAutospacing="0" w:line="420" w:lineRule="atLeast"/>
        <w:ind w:firstLine="420"/>
        <w:rPr>
          <w:rFonts w:ascii="sans-serif" w:hAnsi="sans-serif" w:eastAsia="sans-serif" w:cs="sans-serif"/>
          <w:color w:val="000000"/>
          <w:sz w:val="27"/>
          <w:szCs w:val="27"/>
        </w:rPr>
      </w:pPr>
    </w:p>
    <w:p>
      <w:pPr>
        <w:pStyle w:val="2"/>
        <w:widowControl/>
        <w:spacing w:beforeAutospacing="0" w:afterAutospacing="0" w:line="420" w:lineRule="atLeast"/>
        <w:ind w:firstLine="420"/>
        <w:rPr>
          <w:rFonts w:ascii="sans-serif" w:hAnsi="sans-serif" w:eastAsia="sans-serif" w:cs="sans-serif"/>
          <w:color w:val="000000"/>
          <w:sz w:val="27"/>
          <w:szCs w:val="27"/>
        </w:rPr>
        <w:sectPr>
          <w:pgSz w:w="16838" w:h="11906" w:orient="landscape"/>
          <w:pgMar w:top="2098" w:right="1531" w:bottom="1984" w:left="1531" w:header="851" w:footer="992" w:gutter="0"/>
          <w:cols w:space="0" w:num="1"/>
          <w:docGrid w:type="lines" w:linePitch="319" w:charSpace="0"/>
        </w:sectPr>
      </w:pPr>
    </w:p>
    <w:p>
      <w:pPr>
        <w:pStyle w:val="2"/>
        <w:widowControl/>
        <w:spacing w:beforeAutospacing="0" w:afterAutospacing="0" w:line="560" w:lineRule="exact"/>
        <w:ind w:firstLine="640" w:firstLineChars="200"/>
        <w:rPr>
          <w:rFonts w:ascii="方正仿宋_GBK" w:hAnsi="方正仿宋_GBK" w:eastAsia="方正仿宋_GBK" w:cs="方正仿宋_GBK"/>
          <w:color w:val="000000"/>
          <w:sz w:val="32"/>
          <w:szCs w:val="32"/>
        </w:rPr>
      </w:pP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六、专业名词解释</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（一）财政拨款收入：指本年度从本级财政部门取得的财政拨款，包括一般公共预算财政拨款和政府性基金预算财政拨款。</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（二）事业收入：指事业单位开展专业业务活动及其辅助活动取得的现金流入；事业单位收到的财政专户实际核拨的教育收费等资金在此反映。</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（三）经营收入：指事业单位在专业业务活动及其辅助活动之外开展非独立核算经营活动取得的现金流入。</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（六）年初结转和结余：指单位上年结转本年使用的基本支出结转、项目支出结转和结余、经营结余。</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（七）结余分配：指单位按照国家有关规定，缴纳所得税、提取专用基金、转入非财政拨款结余等当年结余的分配情况。</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（八）年末结转和结余：指单位结转下年的基本支出结转、项目支出结转和结余、经营结余。</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（十）项目支出：指在基本支出之外为完成特定行政任务和事业发展目标所发生的支出。</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（十一）经营支出：指事业单位在专业业务活动及其辅助活动之外开展非独立核算经营活动发生的支出。</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（十三）机关运行经费：为保障行政单位（含参照公务员法管理的事业单位）运行用于购买货物和服务等的各项公用经费，包括办公及印刷费、邮电费、差旅费、会议费、福利费、日常维护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（十四）工资福利支出（支出经济分类科目类级）：反映单位开支的在职职工和编制外长期聘用人员的各类劳动报酬，以及为上述人员缴纳的各项社会保险费等。</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（十五）商品和服务支出（支出经济分类科目类级）：反映单位购买商品和服务的支出（不包括用于购置固定资产的支出、战略性和应急储备支出）。</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（十六）对个人和家庭的补助（支出经济分类科目类级）：反映用于对个人和家庭的补助支出。</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七、决算公开联系方式</w:t>
      </w:r>
    </w:p>
    <w:p>
      <w:pPr>
        <w:pStyle w:val="2"/>
        <w:widowControl/>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本单位决算公开信息反馈和联系方式：023-66416813。</w:t>
      </w:r>
    </w:p>
    <w:p>
      <w:pPr>
        <w:spacing w:line="560" w:lineRule="exact"/>
        <w:ind w:firstLine="640" w:firstLineChars="200"/>
        <w:rPr>
          <w:rFonts w:ascii="方正仿宋_GBK" w:hAnsi="方正仿宋_GBK" w:eastAsia="方正仿宋_GBK" w:cs="方正仿宋_GBK"/>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698"/>
    <w:rsid w:val="00230698"/>
    <w:rsid w:val="00234A5E"/>
    <w:rsid w:val="00CD38BB"/>
    <w:rsid w:val="2E0135D0"/>
    <w:rsid w:val="314B3B1D"/>
    <w:rsid w:val="4AC032CF"/>
    <w:rsid w:val="7C074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1104</Words>
  <Characters>6294</Characters>
  <Lines>52</Lines>
  <Paragraphs>14</Paragraphs>
  <TotalTime>2</TotalTime>
  <ScaleCrop>false</ScaleCrop>
  <LinksUpToDate>false</LinksUpToDate>
  <CharactersWithSpaces>7384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2023-08-11T07:28:00Z</dcterms:created>
  <dc:creator>Administrator</dc:creator>
  <cp:lastModifiedBy>南彭党政办</cp:lastModifiedBy>
  <dcterms:modified xsi:type="dcterms:W3CDTF">2023-08-11T08:53:01Z</dcterms:modified>
  <dc:title>重庆市巴南区人民政府南彭街道办事处2020年部门决算说明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