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155"/>
        <w:gridCol w:w="1302"/>
        <w:gridCol w:w="1186"/>
        <w:gridCol w:w="995"/>
        <w:gridCol w:w="989"/>
        <w:gridCol w:w="549"/>
        <w:gridCol w:w="15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45"/>
                <w:szCs w:val="45"/>
                <w:shd w:val="clear" w:fill="FFFFFF"/>
              </w:rPr>
              <w:t>一品街道2021年预算项目绩效目标表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绩效编制单位：</w:t>
            </w:r>
          </w:p>
        </w:tc>
        <w:tc>
          <w:tcPr>
            <w:tcW w:w="6545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重庆市巴南区人民政府一品街道办事处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敬老院管理费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207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鞠永富17774915617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11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07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重庆市巴南区人民政府一品街道办事处民政办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归口业务科室</w:t>
            </w: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社保科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是否政府采购</w:t>
            </w:r>
          </w:p>
        </w:tc>
        <w:tc>
          <w:tcPr>
            <w:tcW w:w="207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开始日期</w:t>
            </w: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2021.1.1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结束日期</w:t>
            </w:r>
          </w:p>
        </w:tc>
        <w:tc>
          <w:tcPr>
            <w:tcW w:w="207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2021.12.31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（单位：万元）</w:t>
            </w: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4057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4057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      其他资金</w:t>
            </w:r>
          </w:p>
        </w:tc>
        <w:tc>
          <w:tcPr>
            <w:tcW w:w="4057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5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770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按照要求准时对辖区敬老院发放2021年运营管理费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5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立项依据</w:t>
            </w:r>
          </w:p>
        </w:tc>
        <w:tc>
          <w:tcPr>
            <w:tcW w:w="770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巴南府办发【2015】167号文件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75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当年绩效目标</w:t>
            </w:r>
          </w:p>
        </w:tc>
        <w:tc>
          <w:tcPr>
            <w:tcW w:w="770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按照要求准时对辖区1个敬老院发放2021年运营管理费，维护敬老院老人的基本生活权益，保障敬老院稳定运行。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11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30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发放运行管理费的敬老院数量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敬老院管理费发放规范率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敬老院管理费发放及时率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维护敬老院老人的基本生活权益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保障敬老院稳定运行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稳定运行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302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辖区群众满意率</w:t>
            </w: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1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经办人及联系电话：杨发智66482252</w:t>
            </w:r>
          </w:p>
        </w:tc>
        <w:tc>
          <w:tcPr>
            <w:tcW w:w="118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上报时间：2020年12月11日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45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154"/>
        <w:gridCol w:w="1336"/>
        <w:gridCol w:w="1153"/>
        <w:gridCol w:w="995"/>
        <w:gridCol w:w="989"/>
        <w:gridCol w:w="546"/>
        <w:gridCol w:w="1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0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绩效编制单位：</w:t>
            </w:r>
          </w:p>
        </w:tc>
        <w:tc>
          <w:tcPr>
            <w:tcW w:w="6547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重庆市巴南区人民政府一品街道办事处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0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动物疫病防控、森林防火、农作物病虫害防治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207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范时超17783978749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林业局、区农委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07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重庆市巴南区人民政府一品街道办事处农业服务中心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0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归口业务科室</w:t>
            </w: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农业科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是否政府采购</w:t>
            </w:r>
          </w:p>
        </w:tc>
        <w:tc>
          <w:tcPr>
            <w:tcW w:w="207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0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开始日期</w:t>
            </w: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2021.1.1</w:t>
            </w:r>
          </w:p>
        </w:tc>
        <w:tc>
          <w:tcPr>
            <w:tcW w:w="198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结束日期</w:t>
            </w:r>
          </w:p>
        </w:tc>
        <w:tc>
          <w:tcPr>
            <w:tcW w:w="207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2021.12.31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09" w:type="dxa"/>
            <w:gridSpan w:val="2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（单位：万元）</w:t>
            </w: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4058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09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4058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09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      其他资金</w:t>
            </w:r>
          </w:p>
        </w:tc>
        <w:tc>
          <w:tcPr>
            <w:tcW w:w="4058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7701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巴动防部（2020）1号重庆市巴南区防治动物重大疫病指挥部关于《开展2020年春季动物疫病综合防控行动》的通知要求,辖区内经常出现病死动物乱抛乱扔，各村发现后，街道立即组织当地人员开展场地消毒、挖坑深埋以及辖区内森林防火工作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立项依据</w:t>
            </w:r>
          </w:p>
        </w:tc>
        <w:tc>
          <w:tcPr>
            <w:tcW w:w="7701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根据巴动防部（2020）1号重庆市巴南区防治动物重大疫病指挥部关于《开展2020年春季动物疫病综合防控行动》的通知要求实施。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当年绩效目标</w:t>
            </w:r>
          </w:p>
        </w:tc>
        <w:tc>
          <w:tcPr>
            <w:tcW w:w="7701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主动物尸体无害化处理率达100%，动物免疫密度常年保持100%，猪、牛、羊、禽疫病死亡率严格控制在3%、1%、13%以内；农作物疫病控制率达98%以上，化肥使用量减少1%，农药使用量减少3%，农产品增长率在1%以上，土壤污染和森林防火得到有效控制；实行科学养殖、生态养殖，促进养殖业可持续健康发展,防止动物疫病的发生和传播，保护消费者身体健康，维护公共卫生安全，维护生态环境，促进我国经济可持续发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115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3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生猪防疫数量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≥15000头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家禽防疫数量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≥150000只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动物免疫密度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免疫有效抗体率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森林防火控制率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疫木死亡率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≤0.01%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春秋两季集中免疫及时率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三巡分类免疫及时率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维护公共卫生安全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保障群众生命财产安全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33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辖区居民满意度</w:t>
            </w: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98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经办人及联系电话：范时超17783978749</w:t>
            </w:r>
          </w:p>
        </w:tc>
        <w:tc>
          <w:tcPr>
            <w:tcW w:w="9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上报时间：2020年12月11日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45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134"/>
        <w:gridCol w:w="1380"/>
        <w:gridCol w:w="1156"/>
        <w:gridCol w:w="973"/>
        <w:gridCol w:w="967"/>
        <w:gridCol w:w="554"/>
        <w:gridCol w:w="1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56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绩效编制单位：</w:t>
            </w:r>
          </w:p>
        </w:tc>
        <w:tc>
          <w:tcPr>
            <w:tcW w:w="6576" w:type="dxa"/>
            <w:gridSpan w:val="6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重庆市巴南区人民政府一品街道办事处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乡村道路养护</w:t>
            </w:r>
          </w:p>
        </w:tc>
        <w:tc>
          <w:tcPr>
            <w:tcW w:w="1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包彬 13637920366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区交通局</w:t>
            </w:r>
          </w:p>
        </w:tc>
        <w:tc>
          <w:tcPr>
            <w:tcW w:w="1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重庆市巴南区人民政府一品街道办事处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归口业务科室</w:t>
            </w: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经建科</w:t>
            </w:r>
          </w:p>
        </w:tc>
        <w:tc>
          <w:tcPr>
            <w:tcW w:w="1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是否政府采购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开始日期</w:t>
            </w: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2021.01.01</w:t>
            </w:r>
          </w:p>
        </w:tc>
        <w:tc>
          <w:tcPr>
            <w:tcW w:w="1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结束日期</w:t>
            </w: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2021.12.31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（单位：万元）</w:t>
            </w: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404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404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      其他资金</w:t>
            </w:r>
          </w:p>
        </w:tc>
        <w:tc>
          <w:tcPr>
            <w:tcW w:w="404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771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根据《重庆市巴南区人民政府办公室关于印发巴南区“四好农村路”建设工作实施意见的通知》（巴南府办发〔2018〕84号文件要求，2021年需乡村道路养护经费45万元，确保辖区内乡道、村道公路的养护到位。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立项依据</w:t>
            </w:r>
          </w:p>
        </w:tc>
        <w:tc>
          <w:tcPr>
            <w:tcW w:w="771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根据《重庆市巴南区人民政府办公室关于印发巴南区“四好农村路”建设工作实施意见的通知》（巴南府办发〔2018〕84号文件要求实施。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当年绩效目标</w:t>
            </w:r>
          </w:p>
        </w:tc>
        <w:tc>
          <w:tcPr>
            <w:tcW w:w="771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全面完成2021年辖区内乡道、村道公路的日常养护，乡村道路列养率达到100%，解决乡村道路周边群众的出行问题，群众满意度达到90%。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113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乡村道路列养率</w:t>
            </w: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农村公路技术状况评定等级优、良、中等路的比例</w:t>
            </w: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≥75%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养护工作完成时间</w:t>
            </w: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提高农村居民出行便利性</w:t>
            </w: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416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经办人及联系电话：吴世建13436146279</w:t>
            </w:r>
          </w:p>
        </w:tc>
        <w:tc>
          <w:tcPr>
            <w:tcW w:w="97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上报时间：2020年12月11日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2B46"/>
    <w:rsid w:val="3D70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2022-03-22T02:17:00Z</dcterms:created>
  <dc:creator>Administrator</dc:creator>
  <cp:lastModifiedBy>Administrator</cp:lastModifiedBy>
  <dcterms:modified xsi:type="dcterms:W3CDTF">2022-03-22T02:18:41Z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