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1.1-4季度地区生产总值10941421万元，按可比价计算，同比增长5.2%。其中第一产业增加</w:t>
      </w:r>
      <w:bookmarkStart w:id="0" w:name="_GoBack"/>
      <w:bookmarkEnd w:id="0"/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值604645万元，同比增长4.6%；第二产业增加值5214308万元，同比增长5.5%；第三产业增加值5122468万元，同比增长4.9%。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2.1-12月全区规模以上工业</w:t>
      </w:r>
      <w:r>
        <w:rPr>
          <w:rFonts w:hint="eastAsia" w:eastAsia="方正仿宋_GBK" w:cstheme="minorBidi"/>
          <w:color w:val="000000"/>
          <w:sz w:val="32"/>
          <w:szCs w:val="32"/>
          <w:lang w:eastAsia="zh-CN"/>
        </w:rPr>
        <w:t>增加值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同比增长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3.6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3.1-4季度全区社会消费品零售总额5087606万元，同比增长7.5%。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4.1-12月全区全社会固定资产投资同比增长6.3%。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5.1-4季度城镇居民人均可支配收入53113元，同比增长4.2%；农村居民人均可支配收入27209元，同比增长6.1%。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6.1-12月地方预算内财政收入447486万元，同比增长7.1%，其中，一般公共预算收入432118万元，同比增长7.0%；一般公共预算支出797332万元，同比下降2.3%。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7.12月末，全区金融机构人民币存款余额13647083万元，同比增长9.8%，金融机构人民币贷款余额11875136万元，同比增长6.6%。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3F0D"/>
    <w:rsid w:val="10FB422C"/>
    <w:rsid w:val="120272E4"/>
    <w:rsid w:val="12575C20"/>
    <w:rsid w:val="163F4D33"/>
    <w:rsid w:val="1BD6723B"/>
    <w:rsid w:val="297F372C"/>
    <w:rsid w:val="3F473F0D"/>
    <w:rsid w:val="444173BD"/>
    <w:rsid w:val="7D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303</Words>
  <Characters>445</Characters>
  <Lines>0</Lines>
  <Paragraphs>0</Paragraphs>
  <TotalTime>17</TotalTime>
  <ScaleCrop>false</ScaleCrop>
  <LinksUpToDate>false</LinksUpToDate>
  <CharactersWithSpaces>445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zly</dc:creator>
  <cp:lastModifiedBy>zly</cp:lastModifiedBy>
  <cp:lastPrinted>2024-01-22T02:25:00Z</cp:lastPrinted>
  <dcterms:modified xsi:type="dcterms:W3CDTF">2024-01-25T02:23:42Z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A425BD68BD5443BFB31D182FF3124CD6</vt:lpwstr>
  </property>
</Properties>
</file>