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一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季度经济运行情况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1.1季度地区生产总值2535631万元，按可比价计算，同比增长4.4%。其中第一产业增加值86240万元，同比增长3.8%；第二产业增加值1141209万元，同比增长6.1%；第三产业增加值1308182万元，同比增长2.9%。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2.1-3月全区规模以上工业</w:t>
      </w:r>
      <w:r>
        <w:rPr>
          <w:rFonts w:hint="eastAsia" w:eastAsia="方正仿宋_GBK" w:cstheme="minorBidi"/>
          <w:color w:val="000000"/>
          <w:sz w:val="32"/>
          <w:szCs w:val="32"/>
          <w:lang w:eastAsia="zh-CN"/>
        </w:rPr>
        <w:t>增加值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同比增长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6.0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3.1季度全区社会消费品零售总额1434402万元，同比增长5.4%。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4.1-3月全区全社会固定资产投资同比增长0.2%。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5.1季度城镇居民人均可支配收入15760元，同比增长4.2%；农村居民人均可支配收入8573元，同比增长5.4%。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6.1-3月地方预算内财政收入144283万元，同比增长34.6%，其中，一般公共预算收入116720万元，同比增长9.6%；一般公共预算支出237868万元，同比下降6.2%。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7.3月末，全区金融机构人民币存款余额14017992万元，同比增长2.0%，金融机构人民币贷款余额12628813万元，同比增长7.6%。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3F0D"/>
    <w:rsid w:val="10FB422C"/>
    <w:rsid w:val="120272E4"/>
    <w:rsid w:val="163F4D33"/>
    <w:rsid w:val="1BD6723B"/>
    <w:rsid w:val="297F372C"/>
    <w:rsid w:val="3F473F0D"/>
    <w:rsid w:val="444173BD"/>
    <w:rsid w:val="7C2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306</Words>
  <Characters>436</Characters>
  <Lines>0</Lines>
  <Paragraphs>0</Paragraphs>
  <TotalTime>15</TotalTime>
  <ScaleCrop>false</ScaleCrop>
  <LinksUpToDate>false</LinksUpToDate>
  <CharactersWithSpaces>436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2022-04-25T02:10:00Z</dcterms:created>
  <dc:creator>zly</dc:creator>
  <cp:lastModifiedBy>zly</cp:lastModifiedBy>
  <cp:lastPrinted>2024-04-25T06:29:41Z</cp:lastPrinted>
  <dcterms:modified xsi:type="dcterms:W3CDTF">2024-04-25T06:30:03Z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5613EDB36FE0472E8839621C29D8B6E6</vt:lpwstr>
  </property>
</Properties>
</file>