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政府采购支持中小企业发展</w:t>
      </w:r>
    </w:p>
    <w:p>
      <w:pPr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主要政策文件目录清单</w:t>
      </w:r>
    </w:p>
    <w:p>
      <w:pPr>
        <w:spacing w:line="560" w:lineRule="exact"/>
        <w:rPr>
          <w:rFonts w:ascii="Times New Roman" w:hAnsi="Times New Roman" w:eastAsia="方正仿宋_GBK"/>
          <w:b/>
          <w:kern w:val="0"/>
          <w:sz w:val="45"/>
          <w:szCs w:val="45"/>
        </w:rPr>
      </w:pP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1.市财政局《关于转发财政部〈关于进一步加大政府采购支持中小企业力度的通知〉的通知》（渝财采购〔2022〕6号）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2.市财政局《关于进一步加强和规范政府采购履约保证金及合同管理的通知》（</w:t>
      </w:r>
      <w:r>
        <w:fldChar w:fldCharType="begin"/>
      </w:r>
      <w:r>
        <w:instrText xml:space="preserve"> HYPERLINK "https://www.ccgp-chongqing.gov.cn/rules/list-detail/http:"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渝财采购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fldChar w:fldCharType="begin"/>
      </w:r>
      <w:r>
        <w:instrText xml:space="preserve"> HYPERLINK "https://www.ccgp-chongqing.gov.cn/rules/list-detail/http:"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fldChar w:fldCharType="begin"/>
      </w:r>
      <w:r>
        <w:instrText xml:space="preserve"> HYPERLINK "https://www.ccgp-chongqing.gov.cn/rules/list-detail/http:" </w:instrText>
      </w:r>
      <w: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13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sz w:val="32"/>
          <w:szCs w:val="32"/>
        </w:rPr>
        <w:t>号）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3.市财政局市经济和信息化委员会《关于转发〈政府采购促进中小企业发展管理办法〉的通知》（</w:t>
      </w:r>
      <w:r>
        <w:rPr>
          <w:rFonts w:ascii="Times New Roman" w:hAnsi="Times New Roman" w:eastAsia="方正仿宋_GBK"/>
          <w:color w:val="000000"/>
          <w:sz w:val="32"/>
        </w:rPr>
        <w:t>渝财采购〔2021〕2号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4.市财政局市经济和信息化委员会《关于做好政府采购工程支持中小企业发展政策执行工作的通知》（渝财采购〔2022〕9 号）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5.市财政局《关于印发重庆市政府采购常见违规违法行为清单的通知》（渝财采购〔2022〕7号）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6.市场监管总局等五部门《关于印发〈公平竞争审查制度实施细则〉的通知》（国市监反垄规〔2021〕2号）</w:t>
      </w: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7.财政部《关于促进政府采购公平竞争优化营商环境的通知》（财库〔2019〕38号）</w:t>
      </w:r>
    </w:p>
    <w:p>
      <w:pPr>
        <w:spacing w:line="6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请各采购人及政府采购代理机构加强以上（但不仅限于以上）政策文件学习，进一步加大支持中小企业力度，提高规范开展政府采购的意识。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797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79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12879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7EC"/>
    <w:rsid w:val="000E2148"/>
    <w:rsid w:val="00172A27"/>
    <w:rsid w:val="002734FB"/>
    <w:rsid w:val="00A6324F"/>
    <w:rsid w:val="065F444C"/>
    <w:rsid w:val="0817122C"/>
    <w:rsid w:val="08DE3080"/>
    <w:rsid w:val="0A5C5850"/>
    <w:rsid w:val="0B4D0A0F"/>
    <w:rsid w:val="0B5F2D2B"/>
    <w:rsid w:val="15310927"/>
    <w:rsid w:val="192A3FBF"/>
    <w:rsid w:val="20FB0DD2"/>
    <w:rsid w:val="2661560C"/>
    <w:rsid w:val="2EB30B1A"/>
    <w:rsid w:val="30B556F1"/>
    <w:rsid w:val="310F1E20"/>
    <w:rsid w:val="34672988"/>
    <w:rsid w:val="3B2960ED"/>
    <w:rsid w:val="4B70195F"/>
    <w:rsid w:val="50F115AE"/>
    <w:rsid w:val="63F323AD"/>
    <w:rsid w:val="6D8D5D6D"/>
    <w:rsid w:val="6E446D2D"/>
    <w:rsid w:val="6F886D87"/>
    <w:rsid w:val="76906E1E"/>
    <w:rsid w:val="77AC4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2762</Words>
  <Characters>942</Characters>
  <Lines>7</Lines>
  <Paragraphs>7</Paragraphs>
  <TotalTime>34</TotalTime>
  <ScaleCrop>false</ScaleCrop>
  <LinksUpToDate>false</LinksUpToDate>
  <CharactersWithSpaces>3697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2022-06-14T02:08:00Z</cp:lastPrinted>
  <dcterms:modified xsi:type="dcterms:W3CDTF">2023-04-17T02:37:23Z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026E64DE110C41199D8CF250B4A75B11</vt:lpwstr>
  </property>
</Properties>
</file>