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kern w:val="2"/>
          <w:sz w:val="44"/>
          <w:szCs w:val="44"/>
          <w:shd w:val="clear" w:color="auto" w:fill="FFFFFF"/>
        </w:rPr>
      </w:pPr>
    </w:p>
    <w:p>
      <w:pPr>
        <w:pStyle w:val="8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kern w:val="2"/>
          <w:sz w:val="44"/>
          <w:szCs w:val="44"/>
          <w:shd w:val="clear" w:color="auto" w:fill="FFFFFF"/>
        </w:rPr>
        <w:t>巴南区2019年撤停企业及国有改制企业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kern w:val="2"/>
          <w:sz w:val="44"/>
          <w:szCs w:val="44"/>
          <w:shd w:val="clear" w:color="auto" w:fill="FFFFFF"/>
        </w:rPr>
        <w:t>维护费项目</w:t>
      </w:r>
      <w:bookmarkStart w:id="0" w:name="_Toc313640953"/>
      <w:r>
        <w:rPr>
          <w:rFonts w:hint="eastAsia" w:ascii="方正小标宋_GBK" w:eastAsia="方正小标宋_GBK"/>
          <w:kern w:val="2"/>
          <w:sz w:val="44"/>
          <w:szCs w:val="44"/>
          <w:shd w:val="clear" w:color="auto" w:fill="FFFFFF"/>
        </w:rPr>
        <w:t>重点绩效</w:t>
      </w:r>
      <w:r>
        <w:rPr>
          <w:rFonts w:ascii="方正小标宋_GBK" w:eastAsia="方正小标宋_GBK"/>
          <w:kern w:val="2"/>
          <w:sz w:val="44"/>
          <w:szCs w:val="44"/>
          <w:shd w:val="clear" w:color="auto" w:fill="FFFFFF"/>
        </w:rPr>
        <w:t>评价情况</w:t>
      </w:r>
    </w:p>
    <w:p>
      <w:pPr>
        <w:pStyle w:val="8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_GBK" w:eastAsia="方正小标宋_GBK"/>
          <w:kern w:val="2"/>
          <w:sz w:val="44"/>
          <w:szCs w:val="44"/>
          <w:shd w:val="clear" w:color="auto" w:fill="FFFFFF"/>
        </w:rPr>
      </w:pPr>
    </w:p>
    <w:bookmarkEnd w:id="0"/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</w:pPr>
      <w:bookmarkStart w:id="1" w:name="_Toc24958"/>
      <w:bookmarkStart w:id="2" w:name="_Toc10759"/>
      <w:bookmarkStart w:id="3" w:name="_Toc28642"/>
      <w:bookmarkStart w:id="4" w:name="_Toc18884704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为</w:t>
      </w:r>
      <w:r>
        <w:rPr>
          <w:rFonts w:hint="eastAsia" w:ascii="方正仿宋_GBK" w:hAnsi="宋体" w:eastAsia="方正仿宋_GBK" w:cs="宋体"/>
          <w:kern w:val="0"/>
          <w:sz w:val="32"/>
          <w:szCs w:val="32"/>
          <w:shd w:val="clear" w:color="auto" w:fill="FFFFFF"/>
        </w:rPr>
        <w:t>加强财政资金管理，提高资金使用效益，根据《关于全面实施预算绩效管理的实施意见》(渝委发〔2019〕12号)、《重庆市市级部门政策和项目绩效管理办法（试行）》（渝财绩〔2019〕19号）文件的精神，巴南区财政局（以下简称“区财政局”）委托重庆通冠会计师事务所组织成立了绩效评价工作组，对巴南区2019年撤停企业及国有改制企业维护费项目进行了绩效评价。现将评价情况报告如下：</w:t>
      </w:r>
    </w:p>
    <w:p>
      <w:pPr>
        <w:pStyle w:val="8"/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Style w:val="14"/>
          <w:rFonts w:ascii="方正黑体_GBK" w:eastAsia="方正黑体_GBK"/>
          <w:b w:val="0"/>
          <w:bCs w:val="0"/>
          <w:sz w:val="32"/>
          <w:szCs w:val="32"/>
          <w:shd w:val="clear" w:color="auto" w:fill="FFFFFF"/>
        </w:rPr>
      </w:pPr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一、</w:t>
      </w:r>
      <w:bookmarkStart w:id="5" w:name="_Toc30767"/>
      <w:bookmarkStart w:id="6" w:name="_Toc18884705"/>
      <w:bookmarkStart w:id="7" w:name="_Toc17383"/>
      <w:bookmarkStart w:id="8" w:name="_Toc1625"/>
      <w:bookmarkStart w:id="9" w:name="_Toc1917"/>
      <w:bookmarkEnd w:id="1"/>
      <w:bookmarkEnd w:id="2"/>
      <w:bookmarkEnd w:id="3"/>
      <w:bookmarkEnd w:id="4"/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基本情况</w:t>
      </w:r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方正楷体_GBK" w:hAnsi="宋体" w:eastAsia="方正楷体_GBK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  <w:shd w:val="clear" w:color="auto" w:fill="FFFFFF"/>
        </w:rPr>
        <w:t>（一）项目</w:t>
      </w:r>
      <w:bookmarkEnd w:id="5"/>
      <w:bookmarkEnd w:id="6"/>
      <w:r>
        <w:rPr>
          <w:rFonts w:hint="eastAsia" w:ascii="方正楷体_GBK" w:hAnsi="宋体" w:eastAsia="方正楷体_GBK" w:cs="宋体"/>
          <w:kern w:val="0"/>
          <w:sz w:val="32"/>
          <w:szCs w:val="32"/>
          <w:shd w:val="clear" w:color="auto" w:fill="FFFFFF"/>
        </w:rPr>
        <w:t>背景</w:t>
      </w:r>
      <w:bookmarkEnd w:id="7"/>
      <w:bookmarkEnd w:id="8"/>
      <w:bookmarkEnd w:id="9"/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shd w:val="clear" w:color="auto" w:fill="FFFFFF"/>
        </w:rPr>
        <w:t>撤停企业人员是不可忽视的一个社会群体，将国有撤停企业人员纳入社会化管理是一项有利于减轻企业负担、维护社会稳定的利好政策。2002年4月经区财政局、</w:t>
      </w:r>
      <w:r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  <w:t>区经委</w:t>
      </w:r>
      <w:r>
        <w:rPr>
          <w:rFonts w:hint="eastAsia" w:ascii="方正仿宋_GBK" w:hAnsi="宋体" w:eastAsia="方正仿宋_GBK" w:cs="宋体"/>
          <w:kern w:val="0"/>
          <w:sz w:val="32"/>
          <w:szCs w:val="32"/>
          <w:shd w:val="clear" w:color="auto" w:fill="FFFFFF"/>
        </w:rPr>
        <w:t>（即现区经信委）联合下发《关于进一步加强撤停企业人员管理的通知》（巴南经[2002] 49号文），决定将原分别由7个企业代管的人员调整为集中由区经信委代管，后期巴渝汽车运输公司相关人员也集中纳入项目管理。</w:t>
      </w:r>
      <w:bookmarkStart w:id="10" w:name="_Toc7267"/>
      <w:bookmarkStart w:id="11" w:name="_Toc32227"/>
      <w:bookmarkStart w:id="12" w:name="_Toc11934"/>
    </w:p>
    <w:bookmarkEnd w:id="10"/>
    <w:bookmarkEnd w:id="11"/>
    <w:bookmarkEnd w:id="12"/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13" w:name="_Toc29479"/>
      <w:bookmarkStart w:id="14" w:name="_Toc10915"/>
      <w:bookmarkStart w:id="15" w:name="_Toc25152"/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shd w:val="clear" w:color="auto" w:fill="FFFFFF"/>
          <w:lang w:val="en-US" w:eastAsia="zh-CN" w:bidi="ar-SA"/>
        </w:rPr>
        <w:t>（二）资金情况</w:t>
      </w:r>
      <w:bookmarkEnd w:id="13"/>
      <w:bookmarkEnd w:id="14"/>
      <w:bookmarkEnd w:id="15"/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shd w:val="clear" w:color="auto" w:fill="FFFFFF"/>
        </w:rPr>
        <w:t>2019年撤停企业维护费项目预算资金3,927,000元,包含生活费、门诊及住院费、其他节日慰问、临时救助、企业改制相关工作经费等。</w:t>
      </w:r>
    </w:p>
    <w:p>
      <w:pPr>
        <w:widowControl w:val="0"/>
        <w:wordWrap/>
        <w:autoSpaceDE w:val="0"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shd w:val="clear" w:color="auto" w:fill="FFFFFF"/>
        </w:rPr>
        <w:t>截止2019年12月31日，区经信委累计申请财政预算指标3,877,000元，实际使用3,125,797.13元，年底区财政局收回预算指标688,773.88元，账面实际结余62,428.99元。</w:t>
      </w:r>
      <w:bookmarkStart w:id="16" w:name="_Toc42692295"/>
      <w:bookmarkStart w:id="17" w:name="_Toc15107"/>
      <w:bookmarkStart w:id="18" w:name="_Toc18884706"/>
      <w:bookmarkStart w:id="19" w:name="_Toc28708"/>
      <w:bookmarkStart w:id="20" w:name="_Toc4745"/>
      <w:bookmarkStart w:id="21" w:name="_Toc8430"/>
    </w:p>
    <w:p>
      <w:pPr>
        <w:pStyle w:val="8"/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Style w:val="14"/>
          <w:rFonts w:ascii="方正黑体_GBK" w:eastAsia="方正黑体_GBK"/>
          <w:b w:val="0"/>
          <w:bCs w:val="0"/>
          <w:sz w:val="32"/>
          <w:szCs w:val="32"/>
          <w:shd w:val="clear" w:color="auto" w:fill="FFFFFF"/>
        </w:rPr>
      </w:pPr>
      <w:r>
        <w:rPr>
          <w:rStyle w:val="15"/>
          <w:rFonts w:hint="eastAsia" w:ascii="方正黑体_GBK" w:hAnsi="宋体" w:eastAsia="方正黑体_GBK" w:cs="方正黑体_GBK"/>
          <w:b w:val="0"/>
          <w:sz w:val="32"/>
          <w:szCs w:val="32"/>
          <w:shd w:val="clear" w:color="auto" w:fill="FFFFFF"/>
          <w:lang w:eastAsia="zh-CN"/>
        </w:rPr>
        <w:t>二、</w:t>
      </w:r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评价情况</w:t>
      </w:r>
      <w:bookmarkEnd w:id="16"/>
      <w:bookmarkEnd w:id="17"/>
      <w:bookmarkEnd w:id="18"/>
      <w:bookmarkEnd w:id="19"/>
      <w:bookmarkEnd w:id="20"/>
      <w:bookmarkEnd w:id="21"/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shd w:val="clear" w:color="auto" w:fill="FFFFFF"/>
        </w:rPr>
        <w:t>经绩效评价工作组对巴南区2019年撤停企业及国有改制企业维护费项目基础资料的收集、整理、统计、分析、综合，从项目投入、管理、产出、效果四个方面的指标进行评议打分，项目得分为83.48分，项目绩效评价等次为： 良 。</w:t>
      </w:r>
    </w:p>
    <w:p>
      <w:pPr>
        <w:pStyle w:val="8"/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Style w:val="14"/>
          <w:rFonts w:ascii="方正黑体_GBK" w:eastAsia="方正黑体_GBK"/>
          <w:b w:val="0"/>
          <w:bCs w:val="0"/>
          <w:sz w:val="32"/>
          <w:szCs w:val="32"/>
          <w:shd w:val="clear" w:color="auto" w:fill="FFFFFF"/>
        </w:rPr>
      </w:pPr>
      <w:bookmarkStart w:id="22" w:name="_Toc22574"/>
      <w:bookmarkStart w:id="23" w:name="_Toc17620"/>
      <w:bookmarkStart w:id="24" w:name="_Toc22876"/>
      <w:bookmarkStart w:id="25" w:name="_Toc18884718"/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三、需要关注的问题</w:t>
      </w:r>
      <w:bookmarkEnd w:id="22"/>
      <w:bookmarkEnd w:id="23"/>
      <w:bookmarkEnd w:id="24"/>
      <w:bookmarkEnd w:id="25"/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（一）项目补贴发放准确性存在瑕疵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shd w:val="clear" w:color="auto" w:fill="FFFFFF"/>
        </w:rPr>
        <w:t>一是项目补贴发放无复核人员。二是目前政策享受对象的社保、财产及在世等情况，暂未与社保、不动产及人口管理等系统进行比对</w:t>
      </w:r>
      <w:r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  <w:t>。</w:t>
      </w:r>
      <w:bookmarkStart w:id="26" w:name="_Toc20395"/>
      <w:bookmarkStart w:id="27" w:name="_Toc7883"/>
      <w:bookmarkStart w:id="28" w:name="_Toc25846"/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（二）无完整的管理制度</w:t>
      </w:r>
      <w:bookmarkEnd w:id="26"/>
      <w:bookmarkEnd w:id="27"/>
      <w:bookmarkEnd w:id="28"/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bookmarkStart w:id="29" w:name="_Toc1241"/>
      <w:bookmarkStart w:id="30" w:name="_Toc17549"/>
      <w:bookmarkStart w:id="31" w:name="_Toc12594"/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（三）项目有关文件未进行梳理、归集，人员信息更新不及时。</w:t>
      </w:r>
      <w:bookmarkEnd w:id="29"/>
      <w:bookmarkEnd w:id="30"/>
      <w:bookmarkEnd w:id="31"/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</w:pPr>
      <w:bookmarkStart w:id="32" w:name="_Toc556"/>
      <w:bookmarkStart w:id="33" w:name="_Toc28276"/>
      <w:bookmarkStart w:id="34" w:name="_Toc27334"/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（四）少量资金用于预算范围外支出</w:t>
      </w:r>
      <w:bookmarkEnd w:id="32"/>
      <w:bookmarkEnd w:id="33"/>
      <w:bookmarkEnd w:id="34"/>
    </w:p>
    <w:p>
      <w:pPr>
        <w:pStyle w:val="8"/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Style w:val="14"/>
          <w:rFonts w:ascii="方正黑体_GBK" w:eastAsia="方正黑体_GBK"/>
          <w:b w:val="0"/>
          <w:bCs w:val="0"/>
          <w:sz w:val="32"/>
          <w:szCs w:val="32"/>
          <w:shd w:val="clear" w:color="auto" w:fill="FFFFFF"/>
        </w:rPr>
      </w:pPr>
      <w:bookmarkStart w:id="35" w:name="_Toc1163"/>
      <w:bookmarkStart w:id="36" w:name="_Toc31618"/>
      <w:bookmarkStart w:id="37" w:name="_Toc18884719"/>
      <w:bookmarkStart w:id="38" w:name="_Toc16899"/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四、有关建议</w:t>
      </w:r>
      <w:bookmarkEnd w:id="35"/>
      <w:bookmarkEnd w:id="36"/>
      <w:bookmarkEnd w:id="37"/>
      <w:bookmarkEnd w:id="38"/>
      <w:bookmarkStart w:id="39" w:name="_Toc16287"/>
      <w:bookmarkStart w:id="40" w:name="_Toc9187"/>
      <w:bookmarkStart w:id="41" w:name="_Toc11045"/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（一）通过复核、信息共享等手段提高补贴发放准确性。</w:t>
      </w:r>
      <w:bookmarkEnd w:id="39"/>
      <w:bookmarkEnd w:id="40"/>
      <w:bookmarkEnd w:id="41"/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bookmarkStart w:id="42" w:name="_Toc11311"/>
      <w:bookmarkStart w:id="43" w:name="_Toc8711"/>
      <w:bookmarkStart w:id="44" w:name="_Toc17794"/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（二）建立健全项目管理制度</w:t>
      </w:r>
      <w:bookmarkEnd w:id="42"/>
      <w:bookmarkEnd w:id="43"/>
      <w:bookmarkEnd w:id="44"/>
      <w:r>
        <w:rPr>
          <w:rFonts w:hint="eastAsia" w:ascii="方正楷体_GBK" w:eastAsia="方正楷体_GBK" w:cs="方正楷体_GBK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bookmarkStart w:id="45" w:name="_Toc25712"/>
      <w:bookmarkStart w:id="46" w:name="_Toc12687"/>
      <w:bookmarkStart w:id="47" w:name="_Toc10310"/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（三）合理预算项目资金，规范项目资金使用。</w:t>
      </w:r>
      <w:bookmarkEnd w:id="45"/>
      <w:bookmarkEnd w:id="46"/>
      <w:bookmarkEnd w:id="47"/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bookmarkStart w:id="48" w:name="_Toc16039"/>
      <w:bookmarkStart w:id="49" w:name="_Toc18095"/>
      <w:bookmarkStart w:id="50" w:name="_Toc23832"/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（四）加大居民医疗保险参保宣传，及时更新人员信息。</w:t>
      </w:r>
      <w:bookmarkEnd w:id="48"/>
      <w:bookmarkEnd w:id="49"/>
      <w:bookmarkEnd w:id="50"/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</w:pPr>
    </w:p>
    <w:p>
      <w:pPr>
        <w:pStyle w:val="8"/>
        <w:shd w:val="clear" w:color="auto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auto"/>
        <w:outlineLvl w:val="9"/>
        <w:rPr>
          <w:rFonts w:ascii="方正小标宋_GBK" w:eastAsia="方正小标宋_GBK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kern w:val="2"/>
          <w:sz w:val="44"/>
          <w:szCs w:val="44"/>
          <w:shd w:val="clear" w:color="auto" w:fill="FFFFFF"/>
        </w:rPr>
        <w:t>巴南区2019年惠科扩产扩能项目</w:t>
      </w:r>
    </w:p>
    <w:p>
      <w:pPr>
        <w:pStyle w:val="8"/>
        <w:shd w:val="clear" w:color="auto" w:fill="FFFFFF"/>
        <w:wordWrap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center"/>
        <w:textAlignment w:val="auto"/>
        <w:outlineLvl w:val="9"/>
        <w:rPr>
          <w:rFonts w:ascii="方正小标宋_GBK" w:eastAsia="方正小标宋_GBK"/>
          <w:kern w:val="2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kern w:val="2"/>
          <w:sz w:val="44"/>
          <w:szCs w:val="44"/>
          <w:shd w:val="clear" w:color="auto" w:fill="FFFFFF"/>
        </w:rPr>
        <w:t>招商引资优惠政策兑现项目</w:t>
      </w:r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shd w:val="clear" w:color="auto" w:fill="FFFFFF"/>
        </w:rPr>
        <w:t>为加强财政资金管理，提高资金使用效益，根据《关于全面实施预算绩效管理的实施意见》(渝委发〔2019〕12号)、《重庆市市级部门政策和项目绩效管理办法（试行）》（渝财绩〔2019〕19号）文件的精神，巴南区财政局（以下简称“区财政局”）委托重庆通冠会计师事务所组织成立了绩效评价工作组，对巴南区2019年惠科扩产扩能项目招商引资优惠政策兑现项目进行了绩效评价。现将评价情况报告如下：</w:t>
      </w:r>
      <w:bookmarkStart w:id="51" w:name="_Toc9622"/>
      <w:bookmarkStart w:id="52" w:name="_Toc25424"/>
      <w:bookmarkStart w:id="53" w:name="_Toc246"/>
      <w:bookmarkStart w:id="54" w:name="_Toc4979"/>
    </w:p>
    <w:p>
      <w:pPr>
        <w:pStyle w:val="8"/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Style w:val="14"/>
          <w:rFonts w:ascii="方正黑体_GBK" w:eastAsia="方正黑体_GBK"/>
          <w:b w:val="0"/>
          <w:bCs w:val="0"/>
          <w:sz w:val="32"/>
          <w:szCs w:val="32"/>
          <w:shd w:val="clear" w:color="auto" w:fill="FFFFFF"/>
        </w:rPr>
      </w:pPr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一、</w:t>
      </w:r>
      <w:bookmarkStart w:id="55" w:name="_Toc29883"/>
      <w:bookmarkStart w:id="56" w:name="_Toc18306"/>
      <w:bookmarkStart w:id="57" w:name="_Toc26661"/>
      <w:bookmarkStart w:id="58" w:name="_Toc6375"/>
      <w:bookmarkEnd w:id="51"/>
      <w:bookmarkEnd w:id="52"/>
      <w:bookmarkEnd w:id="53"/>
      <w:bookmarkEnd w:id="54"/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基本情况</w:t>
      </w:r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Style w:val="15"/>
          <w:rFonts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（一）项目背景</w:t>
      </w:r>
      <w:bookmarkEnd w:id="55"/>
      <w:bookmarkEnd w:id="56"/>
      <w:bookmarkEnd w:id="57"/>
      <w:bookmarkEnd w:id="58"/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方正楷体_GBK" w:hAnsi="宋体" w:eastAsia="方正楷体_GBK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  <w:shd w:val="clear" w:color="auto" w:fill="FFFFFF"/>
        </w:rPr>
        <w:t>惠</w:t>
      </w:r>
      <w:r>
        <w:rPr>
          <w:rFonts w:hint="eastAsia" w:ascii="方正仿宋_GBK" w:hAnsi="宋体" w:eastAsia="方正仿宋_GBK" w:cs="宋体"/>
          <w:kern w:val="0"/>
          <w:sz w:val="32"/>
          <w:szCs w:val="32"/>
          <w:shd w:val="clear" w:color="auto" w:fill="FFFFFF"/>
        </w:rPr>
        <w:t>科股份有限公司（以下简称“惠科集团”）在巴南设立了重庆惠科金扬科技有限公司（以下简称“惠科金扬”）、重庆渝惠科技有限公司（以下简称“渝惠科技”）等全资、控股公司。巴南区经济和信息化委员会（以下简称“区经信委”）负责该招商引资优惠政策兑现的具体工作，区经信委分别于2019年6月、12月与惠科金扬、渝惠科技签订《惠科扩产扩能项目协议书》、《惠科扩产扩能项目补充协议》。</w:t>
      </w:r>
      <w:bookmarkStart w:id="59" w:name="_Toc23639"/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Style w:val="15"/>
          <w:rFonts w:hint="eastAsia" w:eastAsia="方正楷体_GBK"/>
          <w:b w:val="0"/>
          <w:bCs/>
          <w:kern w:val="0"/>
          <w:sz w:val="32"/>
          <w:szCs w:val="32"/>
          <w:shd w:val="clear" w:color="auto" w:fill="FFFFFF"/>
          <w:lang w:val="en-US" w:eastAsia="zh-CN" w:bidi="ar-SA"/>
        </w:rPr>
        <w:t>（二）资金情况</w:t>
      </w:r>
      <w:bookmarkEnd w:id="59"/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shd w:val="clear" w:color="auto" w:fill="FFFFFF"/>
        </w:rPr>
        <w:t>项目资金来源为2019年巴南区8100万元工业和信息化发展专项资金（含新兴产业扶持资金），未单独编制项目预算。截止2019年12月31日，区经信委累计兑现惠科金扬补贴1917.02万元，其中兑现惠科金扬2018年物流补贴约480.6万元、2019年1-3季度物流补贴约504.22万元、设备补贴932.2万元。</w:t>
      </w:r>
      <w:bookmarkStart w:id="60" w:name="_Toc30172"/>
      <w:bookmarkStart w:id="61" w:name="_Toc18932"/>
      <w:bookmarkStart w:id="62" w:name="_Toc9117"/>
    </w:p>
    <w:p>
      <w:pPr>
        <w:pStyle w:val="8"/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Style w:val="14"/>
          <w:rFonts w:ascii="方正黑体_GBK" w:eastAsia="方正黑体_GBK"/>
          <w:b w:val="0"/>
          <w:bCs w:val="0"/>
          <w:sz w:val="32"/>
          <w:szCs w:val="32"/>
          <w:shd w:val="clear" w:color="auto" w:fill="FFFFFF"/>
        </w:rPr>
      </w:pPr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二、评价情况</w:t>
      </w:r>
      <w:bookmarkEnd w:id="60"/>
      <w:bookmarkEnd w:id="61"/>
      <w:bookmarkEnd w:id="62"/>
      <w:bookmarkStart w:id="63" w:name="_Toc3032"/>
    </w:p>
    <w:bookmarkEnd w:id="63"/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ascii="方正仿宋_GBK" w:hAnsi="宋体" w:eastAsia="方正仿宋_GBK" w:cs="宋体"/>
          <w:kern w:val="0"/>
          <w:sz w:val="32"/>
          <w:szCs w:val="32"/>
          <w:shd w:val="clear" w:color="auto" w:fill="FFFFFF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shd w:val="clear" w:color="auto" w:fill="FFFFFF"/>
        </w:rPr>
        <w:t>经绩效评价工作组对巴南区2019年惠科扩产扩能项目招商引资优惠政策兑现项目基础资料的收集、整理、统计、分析、综合，从项目投入、管理、产出、效果四个方面的指标进行评议打分，项目得分为88.08分，项目绩效评价等次为：良 。</w:t>
      </w:r>
      <w:bookmarkStart w:id="64" w:name="_Toc18027"/>
      <w:bookmarkStart w:id="65" w:name="_Toc15192"/>
      <w:bookmarkStart w:id="66" w:name="_Toc8990"/>
      <w:bookmarkStart w:id="67" w:name="_Toc26626"/>
    </w:p>
    <w:p>
      <w:pPr>
        <w:pStyle w:val="8"/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Style w:val="14"/>
          <w:rFonts w:ascii="方正黑体_GBK" w:eastAsia="方正黑体_GBK"/>
          <w:b w:val="0"/>
          <w:bCs w:val="0"/>
          <w:sz w:val="32"/>
          <w:szCs w:val="32"/>
          <w:shd w:val="clear" w:color="auto" w:fill="FFFFFF"/>
        </w:rPr>
      </w:pPr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三、</w:t>
      </w:r>
      <w:bookmarkStart w:id="68" w:name="_Toc30896"/>
      <w:bookmarkStart w:id="69" w:name="_Toc15094"/>
      <w:bookmarkStart w:id="70" w:name="_Toc13573"/>
      <w:bookmarkStart w:id="71" w:name="_Toc26368"/>
      <w:bookmarkEnd w:id="64"/>
      <w:bookmarkEnd w:id="65"/>
      <w:bookmarkEnd w:id="66"/>
      <w:bookmarkEnd w:id="67"/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需重点关注的问题</w:t>
      </w:r>
    </w:p>
    <w:bookmarkEnd w:id="68"/>
    <w:bookmarkEnd w:id="69"/>
    <w:bookmarkEnd w:id="70"/>
    <w:bookmarkEnd w:id="71"/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bookmarkStart w:id="72" w:name="_Toc8021"/>
      <w:bookmarkStart w:id="73" w:name="_Toc11943"/>
      <w:bookmarkStart w:id="74" w:name="_Toc3940"/>
      <w:bookmarkStart w:id="75" w:name="_Toc26367"/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（一）未设立具体的、可衡量的</w:t>
      </w:r>
      <w:bookmarkStart w:id="96" w:name="_GoBack"/>
      <w:bookmarkEnd w:id="96"/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绩效指标，不利于后期评价</w:t>
      </w:r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（二）</w:t>
      </w:r>
      <w:bookmarkEnd w:id="72"/>
      <w:bookmarkEnd w:id="73"/>
      <w:bookmarkEnd w:id="74"/>
      <w:bookmarkEnd w:id="75"/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协议中相关兑现标准条款有待细化</w:t>
      </w:r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bookmarkStart w:id="76" w:name="_Toc30484"/>
      <w:bookmarkStart w:id="77" w:name="_Toc11518"/>
      <w:bookmarkStart w:id="78" w:name="_Toc8729"/>
      <w:bookmarkStart w:id="79" w:name="_Toc10419"/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（三）新增产值较预期仍有一定差距</w:t>
      </w:r>
      <w:bookmarkEnd w:id="76"/>
      <w:bookmarkEnd w:id="77"/>
      <w:bookmarkEnd w:id="78"/>
      <w:bookmarkEnd w:id="79"/>
    </w:p>
    <w:p>
      <w:pPr>
        <w:pStyle w:val="8"/>
        <w:widowControl w:val="0"/>
        <w:shd w:val="clear" w:color="auto" w:fill="FFFFFF"/>
        <w:wordWrap/>
        <w:autoSpaceDE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outlineLvl w:val="9"/>
        <w:rPr>
          <w:rStyle w:val="14"/>
          <w:rFonts w:ascii="方正黑体_GBK" w:eastAsia="方正黑体_GBK"/>
          <w:b w:val="0"/>
          <w:bCs w:val="0"/>
          <w:sz w:val="32"/>
          <w:szCs w:val="32"/>
          <w:shd w:val="clear" w:color="auto" w:fill="FFFFFF"/>
        </w:rPr>
      </w:pPr>
      <w:bookmarkStart w:id="80" w:name="_Toc19340"/>
      <w:bookmarkStart w:id="81" w:name="_Toc24222"/>
      <w:bookmarkStart w:id="82" w:name="_Toc30531"/>
      <w:bookmarkStart w:id="83" w:name="_Toc29929"/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四、</w:t>
      </w:r>
      <w:bookmarkStart w:id="84" w:name="_Toc5803"/>
      <w:bookmarkStart w:id="85" w:name="_Toc24891"/>
      <w:bookmarkStart w:id="86" w:name="_Toc7491"/>
      <w:bookmarkStart w:id="87" w:name="_Toc21416"/>
      <w:bookmarkEnd w:id="80"/>
      <w:bookmarkEnd w:id="81"/>
      <w:bookmarkEnd w:id="82"/>
      <w:bookmarkEnd w:id="83"/>
      <w:r>
        <w:rPr>
          <w:rStyle w:val="14"/>
          <w:rFonts w:hint="eastAsia" w:ascii="方正黑体_GBK" w:eastAsia="方正黑体_GBK"/>
          <w:b w:val="0"/>
          <w:bCs w:val="0"/>
          <w:sz w:val="32"/>
          <w:szCs w:val="32"/>
          <w:shd w:val="clear" w:color="auto" w:fill="FFFFFF"/>
        </w:rPr>
        <w:t>有关建议</w:t>
      </w:r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（一）</w:t>
      </w:r>
      <w:bookmarkStart w:id="88" w:name="_Toc18303"/>
      <w:bookmarkStart w:id="89" w:name="_Toc2980"/>
      <w:bookmarkStart w:id="90" w:name="_Toc13407"/>
      <w:bookmarkStart w:id="91" w:name="_Toc22006"/>
      <w:bookmarkEnd w:id="84"/>
      <w:bookmarkEnd w:id="85"/>
      <w:bookmarkEnd w:id="86"/>
      <w:bookmarkEnd w:id="87"/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明确、细化绩效目标与指标</w:t>
      </w:r>
      <w:bookmarkEnd w:id="88"/>
      <w:bookmarkEnd w:id="89"/>
      <w:bookmarkEnd w:id="90"/>
      <w:bookmarkEnd w:id="91"/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  <w:bookmarkStart w:id="92" w:name="_Toc31073"/>
      <w:bookmarkStart w:id="93" w:name="_Toc10959"/>
      <w:bookmarkStart w:id="94" w:name="_Toc22027"/>
      <w:bookmarkStart w:id="95" w:name="_Toc27839"/>
      <w:r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  <w:t>（二）明确协议相关兑现标准条款</w:t>
      </w:r>
      <w:bookmarkEnd w:id="92"/>
      <w:bookmarkEnd w:id="93"/>
      <w:bookmarkEnd w:id="94"/>
      <w:bookmarkEnd w:id="95"/>
    </w:p>
    <w:p>
      <w:pPr>
        <w:wordWrap/>
        <w:adjustRightInd/>
        <w:snapToGrid/>
        <w:spacing w:before="0"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方正楷体_GBK" w:hAnsi="Times New Roman" w:eastAsia="方正楷体_GBK" w:cs="方正楷体_GBK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eastAsia="宋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0"/>
    <w:pPr>
      <w:widowControl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7">
    <w:name w:val="样式 样式 标题 2 + 段前: 5 磅 段后: 5 磅 + 段前: 0.5 行 段后: 0.5 行"/>
    <w:basedOn w:val="1"/>
    <w:link w:val="13"/>
    <w:qFormat/>
    <w:uiPriority w:val="0"/>
    <w:pPr>
      <w:keepNext/>
      <w:keepLines/>
      <w:spacing w:beforeLines="50" w:afterLines="50" w:line="596" w:lineRule="exact"/>
      <w:jc w:val="left"/>
      <w:outlineLvl w:val="0"/>
    </w:pPr>
    <w:rPr>
      <w:rFonts w:eastAsia="宋体"/>
      <w:b/>
      <w:bCs/>
      <w:kern w:val="44"/>
      <w:sz w:val="32"/>
      <w:szCs w:val="20"/>
    </w:rPr>
  </w:style>
  <w:style w:type="paragraph" w:customStyle="1" w:styleId="8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3">
    <w:name w:val="样式 样式 标题 2 + 段前: 5 磅 段后: 5 磅 + 段前: 0.5 行 段后: 0.5 行 Char"/>
    <w:link w:val="7"/>
    <w:qFormat/>
    <w:uiPriority w:val="0"/>
    <w:rPr>
      <w:rFonts w:ascii="Times New Roman" w:hAnsi="Times New Roman" w:eastAsia="宋体" w:cs="Times New Roman"/>
      <w:b/>
      <w:bCs/>
      <w:kern w:val="44"/>
      <w:sz w:val="32"/>
      <w:szCs w:val="20"/>
    </w:rPr>
  </w:style>
  <w:style w:type="character" w:customStyle="1" w:styleId="14">
    <w:name w:val="62"/>
    <w:basedOn w:val="6"/>
    <w:qFormat/>
    <w:uiPriority w:val="0"/>
    <w:rPr>
      <w:rFonts w:hint="default" w:ascii="Calibri" w:hAnsi="Calibri"/>
      <w:b/>
      <w:bCs/>
    </w:rPr>
  </w:style>
  <w:style w:type="character" w:customStyle="1" w:styleId="15">
    <w:name w:val="36"/>
    <w:basedOn w:val="6"/>
    <w:uiPriority w:val="0"/>
    <w:rPr>
      <w:rFonts w:hint="default" w:ascii="Calibri" w:hAnsi="Calibri" w:cs="Calibri"/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264</Words>
  <Characters>1508</Characters>
  <Lines>12</Lines>
  <Paragraphs>3</Paragraphs>
  <TotalTime>0</TotalTime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2021-09-28T08:24:00Z</dcterms:created>
  <dc:creator>陈雪娇</dc:creator>
  <cp:lastModifiedBy>Administrator</cp:lastModifiedBy>
  <dcterms:modified xsi:type="dcterms:W3CDTF">2021-09-28T09:43:35Z</dcterms:modified>
  <dc:title>巴南区2019年撤停企业及国有改制企业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