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37239649"/>
      <w:bookmarkEnd w:id="0"/>
    </w:p>
    <w:p>
      <w:pPr>
        <w:pStyle w:val="3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wordWrap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wordWrap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wordWrap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wordWrap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wordWrap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巴南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森防</w:t>
      </w:r>
      <w:r>
        <w:rPr>
          <w:rFonts w:hint="eastAsia" w:ascii="方正仿宋_GBK" w:hAnsi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widowControl w:val="0"/>
        <w:wordWrap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wordWrap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  <w:t>重庆市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  <w:t>巴南区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  <w:t>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关于切实做好中秋国庆期间森林防灭火工作的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人民政府、街道办事处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区森防指各成员单位，</w:t>
      </w:r>
      <w:r>
        <w:rPr>
          <w:rFonts w:hint="eastAsia" w:ascii="方正仿宋_GBK" w:hAnsi="方正仿宋_GBK" w:cs="方正仿宋_GBK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有关单位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近日，我办组织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应急、林业、气象等部门进行会商，预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中秋节期间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以多云天气为主，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将持续高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森林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草原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火险气象等级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。今年受前期高温干旱影响，林区干旱缺水的总体态势仍未完全解除。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中秋、国庆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节期间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旅游人员增加，当前又正值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秋收播种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时节，农事活动频繁，野外用火明显增多，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森林防灭火形势严峻。为切实做好中秋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、国庆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期间森林防灭火工作，现通知如下：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一要高度重视。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党的二十大即将召开。今年夏季，全市遭遇有完整气象记录以来的最热年份，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我区火情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多发频发，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特别是“8.21”界石新玉村森林火灾打破我区7年未发生森林火灾记录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政府出台多项紧急措施，并颁发了总林长令，区委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区政府也多次召开森林防灭火会议，安排部署相关工作。9月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下午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圣灯山镇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再次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发生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火情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经及时处置，未造成大的损失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，但也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暴露出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少数镇街和单位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在火源管控上仍然存在漏洞。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镇街和单位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务必要引起高度重视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，坚决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克服麻痹大意思想和松懈情绪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严格落实森林防灭火责任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，持续加大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总林长令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巴南区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禁火令”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巴南区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封山令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的执行力度，严防森林火灾发生，</w:t>
      </w:r>
      <w:r>
        <w:rPr>
          <w:rFonts w:eastAsia="方正仿宋_GBK"/>
          <w:sz w:val="32"/>
          <w:szCs w:val="32"/>
        </w:rPr>
        <w:t>确保</w:t>
      </w:r>
      <w:r>
        <w:rPr>
          <w:rFonts w:hint="eastAsia" w:eastAsia="方正仿宋_GBK"/>
          <w:sz w:val="32"/>
          <w:szCs w:val="32"/>
        </w:rPr>
        <w:t>森林资源安全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二要强化宣传教育。</w:t>
      </w:r>
      <w:r>
        <w:rPr>
          <w:rFonts w:eastAsia="方正仿宋_GBK"/>
          <w:sz w:val="32"/>
          <w:szCs w:val="32"/>
        </w:rPr>
        <w:t>要把宣传教育作为野外火源管控的第一道关口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重点加大对老人、小孩及其监护人的宣传教育力度，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特别是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对智力障碍和精神病患者监护人的宣传教育，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各镇街要落实专人，坚决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杜绝因宣传教育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、监管措施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不到位导致家火上山和人员伤亡事故发生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三要强化预警预报。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区应急、林业、气象部门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要随时关注天气变化，加强会商研判，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各镇街和国有林场要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及时将防范措施传达到一线护林员及村社干部手中，打通森林防灭火“最后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四要强化火源管控。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镇街和相关单位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在林区主要路口、人员密集场所等地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增派人员、增设卡点，采取死看硬守的方式，加强野外火源管控；对林区林缘耕地，要落实巡护人员，明确巡护职责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，延长巡查时间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要加强警示教育，以案说法，及时通报典型火灾案例，曝光一批对违章野外用火行为和肇事人员的处罚结果，发挥威慑警示作用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eastAsia="方正仿宋_GBK"/>
          <w:color w:val="00000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  <w:lang w:eastAsia="zh-CN"/>
        </w:rPr>
        <w:t>五要强化应急值守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各镇街和相关单位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要严格执行24小时值班和领导带班制度，加强值班值守，值班人员要全面准确掌握本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辖区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森林火险和火情动态；加强火情信息报送，严格落实“有火必报”“报扑同步”，及时、准确报送火情和处置情况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，坚决杜绝瞒报、迟报行为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eastAsia="方正仿宋_GBK"/>
          <w:color w:val="000000"/>
          <w:sz w:val="32"/>
          <w:szCs w:val="20"/>
        </w:rPr>
        <w:t>各级各类扑火队伍靠前驻防，应急扑救物资装车待命，人员整装待发，一旦发生火情能够第一时间出动。要开展防火机具的维护保养工作，使物资、机具处于适用状态，确保应急状况下随时调用。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2212" w:firstLineChars="700"/>
        <w:jc w:val="both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重庆市</w:t>
      </w:r>
      <w:r>
        <w:rPr>
          <w:rFonts w:hint="eastAsia"/>
          <w:sz w:val="32"/>
          <w:szCs w:val="32"/>
          <w:lang w:val="en-US" w:eastAsia="zh-CN"/>
        </w:rPr>
        <w:t>巴南区</w:t>
      </w:r>
      <w:r>
        <w:rPr>
          <w:rFonts w:hint="eastAsia" w:eastAsia="方正仿宋_GBK"/>
          <w:sz w:val="32"/>
          <w:szCs w:val="32"/>
          <w:lang w:val="en-US" w:eastAsia="zh-CN"/>
        </w:rPr>
        <w:t>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2022年9月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64" w:rightChars="400" w:firstLine="0" w:firstLineChars="0"/>
        <w:jc w:val="both"/>
        <w:textAlignment w:val="auto"/>
        <w:outlineLvl w:val="9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（此件公开发布）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3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K" w:hAnsi="方正仿宋_GBK" w:cs="方正仿宋_GBK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K" w:hAnsi="方正仿宋_GBK" w:cs="方正仿宋_GBK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K" w:hAnsi="方正仿宋_GBK" w:cs="方正仿宋_GBK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K" w:hAnsi="方正仿宋_GBK" w:cs="方正仿宋_GBK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K" w:hAnsi="方正仿宋_GBK" w:cs="方正仿宋_GBK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2" w:firstLineChars="20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重庆市</w:t>
      </w:r>
      <w:r>
        <w:rPr>
          <w:rFonts w:hint="eastAsia" w:ascii="方正仿宋_GBK"/>
          <w:sz w:val="28"/>
          <w:szCs w:val="28"/>
          <w:lang w:val="en-US" w:eastAsia="zh-CN"/>
        </w:rPr>
        <w:t>巴南区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森林草原防灭火指挥部办公室</w:t>
      </w:r>
      <w:r>
        <w:rPr>
          <w:rFonts w:hint="eastAsia" w:ascii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IwYjNhYjQ0NjU3ZjljYmMxMTdjNjc5YjhjZTQifQ=="/>
  </w:docVars>
  <w:rsids>
    <w:rsidRoot w:val="1A442128"/>
    <w:rsid w:val="03D6535C"/>
    <w:rsid w:val="08E9586A"/>
    <w:rsid w:val="0E0A011A"/>
    <w:rsid w:val="121559F7"/>
    <w:rsid w:val="12D54DD6"/>
    <w:rsid w:val="16CF75FE"/>
    <w:rsid w:val="18393D55"/>
    <w:rsid w:val="1A442128"/>
    <w:rsid w:val="2484108A"/>
    <w:rsid w:val="2B93450F"/>
    <w:rsid w:val="2BF417D1"/>
    <w:rsid w:val="2DCF7EF9"/>
    <w:rsid w:val="37611A84"/>
    <w:rsid w:val="389B5623"/>
    <w:rsid w:val="3A144DAF"/>
    <w:rsid w:val="42087277"/>
    <w:rsid w:val="427313D9"/>
    <w:rsid w:val="4AD90425"/>
    <w:rsid w:val="4E094577"/>
    <w:rsid w:val="4EFE38FF"/>
    <w:rsid w:val="52AF7873"/>
    <w:rsid w:val="5AAC17E1"/>
    <w:rsid w:val="5E0027C9"/>
    <w:rsid w:val="62A7066D"/>
    <w:rsid w:val="64D11BB3"/>
    <w:rsid w:val="665C14D1"/>
    <w:rsid w:val="6C5312F4"/>
    <w:rsid w:val="70A83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1325" w:hanging="3256"/>
      <w:outlineLvl w:val="1"/>
    </w:pPr>
    <w:rPr>
      <w:rFonts w:ascii="宋体" w:hAnsi="宋体" w:eastAsia="宋体" w:cs="宋体"/>
      <w:sz w:val="42"/>
      <w:szCs w:val="4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link w:val="11"/>
    <w:semiHidden/>
    <w:qFormat/>
    <w:uiPriority w:val="0"/>
    <w:rPr>
      <w:rFonts w:ascii="宋体" w:hAnsi="宋体" w:eastAsia="宋体" w:cs="宋体"/>
      <w:sz w:val="24"/>
      <w:szCs w:val="26"/>
    </w:rPr>
  </w:style>
  <w:style w:type="table" w:default="1" w:styleId="1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6">
    <w:name w:val="Body Text Indent 2"/>
    <w:basedOn w:val="1"/>
    <w:qFormat/>
    <w:uiPriority w:val="0"/>
    <w:pPr>
      <w:spacing w:line="560" w:lineRule="atLeast"/>
      <w:ind w:firstLine="645"/>
    </w:pPr>
    <w:rPr>
      <w:rFonts w:ascii="仿宋_GB2312" w:eastAsia="仿宋_GB2312"/>
      <w:sz w:val="32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_Style 17"/>
    <w:basedOn w:val="1"/>
    <w:link w:val="10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信息标题1"/>
    <w:basedOn w:val="1"/>
    <w:qFormat/>
    <w:uiPriority w:val="1664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clear" w:color="auto" w:fill="CCCCCC"/>
      <w:ind w:left="1080" w:right="0" w:hanging="1080"/>
    </w:pPr>
    <w:rPr>
      <w:rFonts w:ascii="Cambria" w:hAnsi="Cambria" w:eastAsia="宋体" w:cs="Times New Roman"/>
      <w:sz w:val="24"/>
      <w:szCs w:val="24"/>
    </w:rPr>
  </w:style>
  <w:style w:type="paragraph" w:customStyle="1" w:styleId="1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仿宋_GBK" w:hAnsi="方正仿宋_GBK" w:eastAsia="方正仿宋_GBK" w:cs="黑体"/>
      <w:color w:val="000000"/>
      <w:sz w:val="24"/>
      <w:lang w:val="en-US" w:eastAsia="zh-CN" w:bidi="ar-SA"/>
    </w:rPr>
  </w:style>
  <w:style w:type="character" w:customStyle="1" w:styleId="17">
    <w:name w:val="页脚 Char"/>
    <w:basedOn w:val="10"/>
    <w:link w:val="7"/>
    <w:qFormat/>
    <w:uiPriority w:val="0"/>
    <w:rPr>
      <w:rFonts w:hint="eastAsia" w:ascii="方正仿宋_GBK" w:hAnsi="方正仿宋_GBK" w:eastAsia="方正仿宋_GBK" w:cs="方正仿宋_GBK"/>
      <w:kern w:val="2"/>
      <w:sz w:val="18"/>
    </w:rPr>
  </w:style>
  <w:style w:type="character" w:customStyle="1" w:styleId="18">
    <w:name w:val="页脚 Char1"/>
    <w:basedOn w:val="10"/>
    <w:link w:val="7"/>
    <w:qFormat/>
    <w:uiPriority w:val="0"/>
    <w:rPr>
      <w:rFonts w:hint="eastAsia" w:ascii="方正仿宋_GBK" w:hAnsi="方正仿宋_GBK" w:eastAsia="方正仿宋_GBK" w:cs="方正仿宋_GBK"/>
      <w:kern w:val="2"/>
      <w:sz w:val="18"/>
      <w:szCs w:val="18"/>
    </w:rPr>
  </w:style>
  <w:style w:type="paragraph" w:customStyle="1" w:styleId="19">
    <w:name w:val="列出段落11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1218</Words>
  <Characters>1288</Characters>
  <Lines>0</Lines>
  <Paragraphs>0</Paragraphs>
  <TotalTime>0</TotalTime>
  <ScaleCrop>false</ScaleCrop>
  <LinksUpToDate>false</LinksUpToDate>
  <CharactersWithSpaces>1474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2020-08-03T00:58:00Z</dcterms:created>
  <dc:creator>Administrator</dc:creator>
  <cp:lastModifiedBy>Administrator</cp:lastModifiedBy>
  <cp:lastPrinted>2022-08-17T02:16:00Z</cp:lastPrinted>
  <dcterms:modified xsi:type="dcterms:W3CDTF">2022-09-09T07:04:35Z</dcterms:modified>
  <dc:title>渝森防指〔2020〕8号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DDC6E0BCF51B49D7855A0AFC868833FA</vt:lpwstr>
  </property>
</Properties>
</file>