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snapToGrid w:val="0"/>
        <w:spacing w:line="560" w:lineRule="exact"/>
        <w:jc w:val="center"/>
        <w:rPr>
          <w:rFonts w:hint="eastAsia" w:ascii="Calibri" w:eastAsia="方正小标宋_GBK"/>
          <w:kern w:val="0"/>
          <w:sz w:val="44"/>
          <w:szCs w:val="44"/>
        </w:rPr>
      </w:pPr>
      <w:r>
        <w:rPr>
          <w:rFonts w:hint="eastAsia" w:ascii="方正小标宋_GBK" w:eastAsia="方正小标宋_GBK"/>
          <w:kern w:val="0"/>
          <w:sz w:val="44"/>
          <w:szCs w:val="44"/>
        </w:rPr>
        <w:t>重庆市巴南区人民政府</w:t>
      </w:r>
    </w:p>
    <w:p>
      <w:pPr>
        <w:spacing w:line="560" w:lineRule="exact"/>
        <w:jc w:val="center"/>
        <w:rPr>
          <w:rFonts w:eastAsia="方正小标宋_GBK"/>
          <w:kern w:val="0"/>
          <w:sz w:val="44"/>
          <w:szCs w:val="44"/>
        </w:rPr>
      </w:pPr>
      <w:r>
        <w:rPr>
          <w:rFonts w:ascii="方正小标宋_GBK" w:eastAsia="方正小标宋_GBK"/>
          <w:kern w:val="0"/>
          <w:sz w:val="44"/>
          <w:szCs w:val="44"/>
        </w:rPr>
        <w:t>关于印发重庆市巴南区国有土地上房屋征收补偿及奖励补助标准（修订）的通知</w:t>
      </w:r>
    </w:p>
    <w:p>
      <w:pPr>
        <w:jc w:val="center"/>
        <w:rPr>
          <w:rFonts w:hint="eastAsia" w:ascii="方正仿宋_GBK" w:hAnsi="Calibri" w:eastAsia="方正仿宋_GBK" w:cs="Times New Roman"/>
          <w:kern w:val="0"/>
          <w:sz w:val="32"/>
        </w:rPr>
      </w:pPr>
      <w:r>
        <w:rPr>
          <w:rFonts w:hint="eastAsia" w:ascii="方正仿宋_GBK" w:hAnsi="Calibri" w:eastAsia="方正仿宋_GBK" w:cs="Times New Roman"/>
          <w:kern w:val="0"/>
          <w:sz w:val="32"/>
        </w:rPr>
        <w:t>巴南府发〔</w:t>
      </w:r>
      <w:r>
        <w:rPr>
          <w:rFonts w:hint="default" w:ascii="Times New Roman" w:hAnsi="Times New Roman" w:eastAsia="方正仿宋_GBK" w:cs="Times New Roman"/>
          <w:kern w:val="0"/>
          <w:sz w:val="32"/>
        </w:rPr>
        <w:t>2025</w:t>
      </w:r>
      <w:r>
        <w:rPr>
          <w:rFonts w:hint="eastAsia" w:ascii="方正仿宋_GBK" w:hAnsi="Calibri" w:eastAsia="方正仿宋_GBK" w:cs="Times New Roman"/>
          <w:kern w:val="0"/>
          <w:sz w:val="32"/>
        </w:rPr>
        <w:t>〕</w:t>
      </w:r>
      <w:r>
        <w:rPr>
          <w:rFonts w:hint="default" w:ascii="Times New Roman" w:hAnsi="Times New Roman" w:eastAsia="方正仿宋_GBK" w:cs="Times New Roman"/>
          <w:kern w:val="0"/>
          <w:sz w:val="32"/>
          <w:lang w:val="en-US" w:eastAsia="zh-CN"/>
        </w:rPr>
        <w:t>5</w:t>
      </w:r>
      <w:r>
        <w:rPr>
          <w:rFonts w:hint="eastAsia" w:ascii="方正仿宋_GBK" w:hAnsi="Calibri" w:eastAsia="方正仿宋_GBK" w:cs="Times New Roman"/>
          <w:kern w:val="0"/>
          <w:sz w:val="32"/>
        </w:rPr>
        <w:t>号</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pPr>
        <w:autoSpaceDE w:val="0"/>
        <w:adjustRightInd w:val="0"/>
        <w:snapToGrid w:val="0"/>
        <w:spacing w:line="540" w:lineRule="exact"/>
        <w:rPr>
          <w:rFonts w:hint="eastAsia" w:ascii="方正仿宋_GBK" w:hAnsi="Calibri" w:eastAsia="方正仿宋_GBK" w:cs="Times New Roman"/>
          <w:spacing w:val="-20"/>
          <w:kern w:val="0"/>
          <w:sz w:val="32"/>
        </w:rPr>
      </w:pPr>
      <w:r>
        <w:rPr>
          <w:rFonts w:hint="eastAsia" w:ascii="方正仿宋_GBK" w:hAnsi="Calibri" w:eastAsia="方正仿宋_GBK" w:cs="方正仿宋简体"/>
          <w:kern w:val="0"/>
          <w:sz w:val="32"/>
        </w:rPr>
        <w:t>各镇人民政府、街道办事处，区政府各部门，区属国有公司，有关单位</w:t>
      </w:r>
      <w:r>
        <w:rPr>
          <w:rFonts w:hint="eastAsia" w:ascii="方正仿宋_GBK" w:hAnsi="Calibri" w:eastAsia="方正仿宋_GBK" w:cs="Times New Roman"/>
          <w:spacing w:val="-20"/>
          <w:kern w:val="0"/>
          <w:sz w:val="32"/>
        </w:rPr>
        <w:t>：</w:t>
      </w:r>
      <w:bookmarkStart w:id="0" w:name="_GoBack"/>
      <w:bookmarkEnd w:id="0"/>
    </w:p>
    <w:p>
      <w:pPr>
        <w:autoSpaceDE w:val="0"/>
        <w:adjustRightInd w:val="0"/>
        <w:snapToGrid w:val="0"/>
        <w:spacing w:line="540" w:lineRule="exact"/>
        <w:ind w:firstLine="640"/>
        <w:rPr>
          <w:rFonts w:hint="eastAsia" w:ascii="方正小标宋_GBK" w:hAnsi="Calibri" w:eastAsia="方正仿宋_GBK" w:cs="Times New Roman"/>
          <w:color w:val="000000"/>
          <w:sz w:val="44"/>
          <w:szCs w:val="44"/>
        </w:rPr>
      </w:pPr>
      <w:r>
        <w:rPr>
          <w:rFonts w:hint="eastAsia" w:ascii="方正仿宋_GBK" w:hAnsi="Calibri" w:eastAsia="方正仿宋_GBK" w:cs="Times New Roman"/>
          <w:sz w:val="32"/>
        </w:rPr>
        <w:t>现将《重庆市巴南区国有土地上房屋征收补偿及奖励补助标准（修订）》印发给你们，请认真贯彻执行。原《重庆市巴南区人民政府关于印发重庆市巴南区国有土地上房屋征收补偿及奖励补助标准（试行）的通知》（巴南府发〔</w:t>
      </w:r>
      <w:r>
        <w:rPr>
          <w:rFonts w:hint="default" w:ascii="Times New Roman" w:hAnsi="Times New Roman" w:eastAsia="方正仿宋_GBK" w:cs="Times New Roman"/>
          <w:sz w:val="32"/>
        </w:rPr>
        <w:t>2023</w:t>
      </w:r>
      <w:r>
        <w:rPr>
          <w:rFonts w:hint="eastAsia" w:ascii="方正仿宋_GBK" w:hAnsi="Calibri" w:eastAsia="方正仿宋_GBK" w:cs="Times New Roman"/>
          <w:sz w:val="32"/>
        </w:rPr>
        <w:t>〕</w:t>
      </w:r>
      <w:r>
        <w:rPr>
          <w:rFonts w:hint="default" w:ascii="Times New Roman" w:hAnsi="Times New Roman" w:eastAsia="方正仿宋_GBK" w:cs="Times New Roman"/>
          <w:sz w:val="32"/>
        </w:rPr>
        <w:t>13</w:t>
      </w:r>
      <w:r>
        <w:rPr>
          <w:rFonts w:hint="eastAsia" w:ascii="方正仿宋_GBK" w:hAnsi="Calibri" w:eastAsia="方正仿宋_GBK" w:cs="Times New Roman"/>
          <w:sz w:val="32"/>
        </w:rPr>
        <w:t>号）废止。</w:t>
      </w:r>
    </w:p>
    <w:p>
      <w:pPr>
        <w:autoSpaceDE w:val="0"/>
        <w:adjustRightInd w:val="0"/>
        <w:snapToGrid w:val="0"/>
        <w:spacing w:line="540" w:lineRule="exact"/>
        <w:jc w:val="left"/>
        <w:rPr>
          <w:rFonts w:hint="eastAsia" w:ascii="方正小标宋_GBK" w:hAnsi="Calibri" w:eastAsia="方正小标宋_GBK" w:cs="Times New Roman"/>
          <w:color w:val="000000"/>
          <w:sz w:val="44"/>
          <w:szCs w:val="44"/>
        </w:rPr>
      </w:pPr>
      <w:r>
        <w:rPr>
          <w:rFonts w:hint="eastAsia" w:ascii="方正小标宋_GBK" w:hAnsi="Calibri" w:eastAsia="方正小标宋_GBK" w:cs="Times New Roman"/>
          <w:color w:val="000000"/>
          <w:sz w:val="44"/>
          <w:szCs w:val="44"/>
        </w:rPr>
        <w:t xml:space="preserve"> </w:t>
      </w:r>
    </w:p>
    <w:p>
      <w:pPr>
        <w:widowControl w:val="0"/>
        <w:adjustRightInd w:val="0"/>
        <w:snapToGrid w:val="0"/>
        <w:spacing w:line="540" w:lineRule="exact"/>
        <w:jc w:val="left"/>
        <w:rPr>
          <w:rFonts w:hint="eastAsia" w:ascii="方正小标宋_GBK" w:hAnsi="Calibri" w:eastAsia="方正小标宋_GBK" w:cs="Times New Roman"/>
          <w:color w:val="000000"/>
          <w:kern w:val="2"/>
          <w:sz w:val="44"/>
          <w:szCs w:val="44"/>
          <w:lang w:val="en-US" w:eastAsia="zh-CN" w:bidi="ar-SA"/>
        </w:rPr>
      </w:pPr>
      <w:r>
        <w:rPr>
          <w:rFonts w:hint="eastAsia" w:ascii="方正小标宋_GBK" w:hAnsi="Calibri" w:eastAsia="方正小标宋_GBK" w:cs="Times New Roman"/>
          <w:color w:val="000000"/>
          <w:kern w:val="2"/>
          <w:sz w:val="44"/>
          <w:szCs w:val="44"/>
          <w:lang w:val="en-US" w:eastAsia="zh-CN" w:bidi="ar-SA"/>
        </w:rPr>
        <w:t xml:space="preserve"> </w:t>
      </w:r>
    </w:p>
    <w:p>
      <w:pPr>
        <w:widowControl w:val="0"/>
        <w:adjustRightInd w:val="0"/>
        <w:snapToGrid w:val="0"/>
        <w:spacing w:before="0" w:beforeAutospacing="0" w:after="0" w:afterAutospacing="0" w:line="540" w:lineRule="exact"/>
        <w:ind w:left="1680"/>
        <w:jc w:val="right"/>
        <w:rPr>
          <w:rFonts w:ascii="方正仿宋_GBK" w:hAnsi="Arial" w:eastAsia="方正仿宋_GBK" w:cs="Times New Roman (正文 CS 字体)"/>
          <w:kern w:val="0"/>
          <w:sz w:val="32"/>
          <w:szCs w:val="32"/>
          <w:lang w:val="en-US" w:eastAsia="zh-CN" w:bidi="ar-SA"/>
        </w:rPr>
      </w:pPr>
      <w:r>
        <w:rPr>
          <w:rFonts w:ascii="Arial" w:hAnsi="Arial" w:eastAsia="方正仿宋_GBK" w:cs="Times New Roman (正文 CS 字体)"/>
          <w:kern w:val="0"/>
          <w:sz w:val="32"/>
          <w:szCs w:val="32"/>
          <w:lang w:val="en-US" w:eastAsia="zh-CN" w:bidi="ar-SA"/>
        </w:rPr>
        <w:t xml:space="preserve"> </w:t>
      </w:r>
      <w:r>
        <w:rPr>
          <w:rFonts w:hint="eastAsia" w:ascii="方正仿宋_GBK" w:hAnsi="Arial" w:eastAsia="方正仿宋_GBK" w:cs="Times New Roman (正文 CS 字体)"/>
          <w:kern w:val="0"/>
          <w:sz w:val="32"/>
          <w:szCs w:val="32"/>
          <w:lang w:val="en-US" w:eastAsia="zh-CN" w:bidi="ar-SA"/>
        </w:rPr>
        <w:t xml:space="preserve">重庆市巴南区人民政府      </w:t>
      </w:r>
    </w:p>
    <w:p>
      <w:pPr>
        <w:autoSpaceDE w:val="0"/>
        <w:adjustRightInd w:val="0"/>
        <w:snapToGrid w:val="0"/>
        <w:spacing w:line="540" w:lineRule="exact"/>
        <w:jc w:val="center"/>
        <w:rPr>
          <w:rFonts w:hint="default" w:ascii="方正仿宋_GBK" w:hAnsi="Calibri" w:eastAsia="方正仿宋_GBK" w:cs="Times New Roman"/>
          <w:sz w:val="32"/>
          <w:lang w:val="en-US" w:eastAsia="zh-CN"/>
        </w:rPr>
      </w:pPr>
      <w:r>
        <w:rPr>
          <w:rFonts w:hint="eastAsia" w:ascii="方正仿宋_GBK" w:hAnsi="Calibri" w:eastAsia="方正仿宋_GBK" w:cs="Times New Roman"/>
          <w:sz w:val="32"/>
        </w:rPr>
        <w:t xml:space="preserve">                          </w:t>
      </w:r>
      <w:r>
        <w:rPr>
          <w:rFonts w:hint="default" w:ascii="Times New Roman" w:hAnsi="Times New Roman" w:eastAsia="方正仿宋_GBK" w:cs="Times New Roman"/>
          <w:sz w:val="32"/>
        </w:rPr>
        <w:t>2025</w:t>
      </w:r>
      <w:r>
        <w:rPr>
          <w:rFonts w:hint="eastAsia" w:ascii="方正仿宋_GBK" w:hAnsi="Calibri" w:eastAsia="方正仿宋_GBK" w:cs="Times New Roman"/>
          <w:sz w:val="32"/>
        </w:rPr>
        <w:t>年</w:t>
      </w:r>
      <w:r>
        <w:rPr>
          <w:rFonts w:hint="default" w:ascii="Times New Roman" w:hAnsi="Times New Roman" w:eastAsia="方正仿宋_GBK" w:cs="Times New Roman"/>
          <w:sz w:val="32"/>
          <w:lang w:val="en-US" w:eastAsia="zh-CN"/>
        </w:rPr>
        <w:t>2</w:t>
      </w:r>
      <w:r>
        <w:rPr>
          <w:rFonts w:hint="eastAsia" w:ascii="方正仿宋_GBK" w:hAnsi="Calibri" w:eastAsia="方正仿宋_GBK" w:cs="Times New Roman"/>
          <w:sz w:val="32"/>
        </w:rPr>
        <w:t>月</w:t>
      </w:r>
      <w:r>
        <w:rPr>
          <w:rFonts w:hint="default" w:ascii="Times New Roman" w:hAnsi="Times New Roman" w:eastAsia="方正仿宋_GBK" w:cs="Times New Roman"/>
          <w:sz w:val="32"/>
          <w:lang w:val="en-US" w:eastAsia="zh-CN"/>
        </w:rPr>
        <w:t>21</w:t>
      </w:r>
      <w:r>
        <w:rPr>
          <w:rFonts w:hint="eastAsia" w:ascii="方正仿宋_GBK" w:hAnsi="Calibri" w:eastAsia="方正仿宋_GBK" w:cs="Times New Roman"/>
          <w:sz w:val="32"/>
        </w:rPr>
        <w:t>日</w:t>
      </w:r>
      <w:r>
        <w:rPr>
          <w:rFonts w:hint="eastAsia" w:ascii="方正仿宋_GBK" w:hAnsi="Calibri" w:eastAsia="方正仿宋_GBK" w:cs="Times New Roman"/>
          <w:sz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方正仿宋_GBK" w:hAnsi="Calibri" w:eastAsia="方正仿宋_GBK" w:cs="Times New Roman"/>
          <w:sz w:val="32"/>
        </w:rPr>
        <w:t>（此件公开发布）</w:t>
      </w:r>
    </w:p>
    <w:p>
      <w:pPr>
        <w:pStyle w:val="7"/>
        <w:keepNext w:val="0"/>
        <w:keepLines w:val="0"/>
        <w:pageBreakBefore w:val="0"/>
        <w:widowControl/>
        <w:suppressLineNumbers w:val="0"/>
        <w:shd w:val="clear" w:fill="FFFFFF"/>
        <w:kinsoku/>
        <w:overflowPunct/>
        <w:topLinePunct w:val="0"/>
        <w:bidi w:val="0"/>
        <w:spacing w:line="600" w:lineRule="atLeas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autoSpaceDE w:val="0"/>
        <w:spacing w:line="560" w:lineRule="exact"/>
        <w:jc w:val="center"/>
        <w:rPr>
          <w:rFonts w:ascii="方正仿宋_GBK" w:hAnsi="Calibri" w:eastAsia="方正仿宋_GBK" w:cs="Times New Roman"/>
          <w:sz w:val="32"/>
        </w:rPr>
      </w:pPr>
      <w:r>
        <w:rPr>
          <w:rFonts w:hint="eastAsia" w:ascii="方正小标宋_GBK" w:hAnsi="Calibri" w:eastAsia="方正小标宋_GBK" w:cs="Times New Roman"/>
          <w:sz w:val="44"/>
          <w:szCs w:val="44"/>
        </w:rPr>
        <w:t>重庆市巴南区国有土地上房屋征收补偿及奖励补助标准（修订）</w:t>
      </w:r>
    </w:p>
    <w:p>
      <w:pPr>
        <w:autoSpaceDE w:val="0"/>
        <w:spacing w:line="560" w:lineRule="exact"/>
        <w:ind w:firstLine="640"/>
        <w:rPr>
          <w:rFonts w:hint="eastAsia" w:ascii="方正仿宋_GBK" w:hAnsi="Calibri" w:eastAsia="方正仿宋_GBK" w:cs="Times New Roman"/>
          <w:sz w:val="32"/>
        </w:rPr>
      </w:pPr>
      <w:r>
        <w:rPr>
          <w:rFonts w:hint="eastAsia" w:ascii="方正仿宋_GBK" w:hAnsi="Calibri" w:eastAsia="方正仿宋_GBK" w:cs="Times New Roman"/>
          <w:sz w:val="32"/>
        </w:rPr>
        <w:t xml:space="preserve"> </w:t>
      </w:r>
    </w:p>
    <w:p>
      <w:pPr>
        <w:adjustRightInd w:val="0"/>
        <w:snapToGrid w:val="0"/>
        <w:spacing w:line="560" w:lineRule="exact"/>
        <w:ind w:right="2" w:firstLine="640"/>
        <w:rPr>
          <w:rFonts w:hint="eastAsia" w:ascii="方正仿宋_GBK" w:hAnsi="Calibri" w:eastAsia="方正仿宋_GBK" w:cs="Times New Roman"/>
          <w:kern w:val="0"/>
          <w:sz w:val="32"/>
        </w:rPr>
      </w:pPr>
      <w:r>
        <w:rPr>
          <w:rFonts w:hint="eastAsia" w:ascii="方正仿宋_GBK" w:hAnsi="Microsoft JhengHei" w:eastAsia="方正仿宋_GBK" w:cs="Microsoft JhengHei"/>
          <w:spacing w:val="-14"/>
          <w:sz w:val="32"/>
        </w:rPr>
        <w:t xml:space="preserve"> </w:t>
      </w:r>
      <w:r>
        <w:rPr>
          <w:rFonts w:hint="eastAsia" w:ascii="方正仿宋_GBK" w:hAnsi="Calibri" w:eastAsia="方正仿宋_GBK" w:cs="Times New Roman"/>
          <w:kern w:val="0"/>
          <w:sz w:val="32"/>
        </w:rPr>
        <w:t>为推进我区国有土地上房屋征收与补偿工作，维护公共利益，保障被征收人的合法权益，根据《重庆市国有土地上房屋征收与补偿条例实施细则》（渝府发〔</w:t>
      </w:r>
      <w:r>
        <w:rPr>
          <w:rFonts w:hint="default" w:ascii="Times New Roman" w:hAnsi="Times New Roman" w:eastAsia="方正仿宋_GBK" w:cs="Times New Roman"/>
          <w:kern w:val="0"/>
          <w:sz w:val="32"/>
        </w:rPr>
        <w:t>2022</w:t>
      </w:r>
      <w:r>
        <w:rPr>
          <w:rFonts w:hint="eastAsia" w:ascii="方正仿宋_GBK" w:hAnsi="Calibri" w:eastAsia="方正仿宋_GBK" w:cs="Times New Roman"/>
          <w:kern w:val="0"/>
          <w:sz w:val="32"/>
        </w:rPr>
        <w:t>〕</w:t>
      </w:r>
      <w:r>
        <w:rPr>
          <w:rFonts w:hint="default" w:ascii="Times New Roman" w:hAnsi="Times New Roman" w:eastAsia="方正仿宋_GBK" w:cs="Times New Roman"/>
          <w:kern w:val="0"/>
          <w:sz w:val="32"/>
        </w:rPr>
        <w:t>26</w:t>
      </w:r>
      <w:r>
        <w:rPr>
          <w:rFonts w:hint="eastAsia" w:ascii="方正仿宋_GBK" w:hAnsi="Calibri" w:eastAsia="方正仿宋_GBK" w:cs="Times New Roman"/>
          <w:kern w:val="0"/>
          <w:sz w:val="32"/>
        </w:rPr>
        <w:t>号）和《重庆市住房和城乡建设委员会关于全市执行统一的国有土地上房屋征收补偿科目及单项最高限额标准制度的通知》（渝建征〔</w:t>
      </w:r>
      <w:r>
        <w:rPr>
          <w:rFonts w:hint="default" w:ascii="Times New Roman" w:hAnsi="Times New Roman" w:eastAsia="方正仿宋_GBK" w:cs="Times New Roman"/>
          <w:kern w:val="0"/>
          <w:sz w:val="32"/>
        </w:rPr>
        <w:t>2022</w:t>
      </w:r>
      <w:r>
        <w:rPr>
          <w:rFonts w:hint="eastAsia" w:ascii="方正仿宋_GBK" w:hAnsi="Calibri" w:eastAsia="方正仿宋_GBK" w:cs="Times New Roman"/>
          <w:kern w:val="0"/>
          <w:sz w:val="32"/>
        </w:rPr>
        <w:t>〕</w:t>
      </w:r>
      <w:r>
        <w:rPr>
          <w:rFonts w:hint="default" w:ascii="Times New Roman" w:hAnsi="Times New Roman" w:eastAsia="方正仿宋_GBK" w:cs="Times New Roman"/>
          <w:kern w:val="0"/>
          <w:sz w:val="32"/>
        </w:rPr>
        <w:t>10</w:t>
      </w:r>
      <w:r>
        <w:rPr>
          <w:rFonts w:hint="eastAsia" w:ascii="方正仿宋_GBK" w:hAnsi="Calibri" w:eastAsia="方正仿宋_GBK" w:cs="Times New Roman"/>
          <w:kern w:val="0"/>
          <w:sz w:val="32"/>
        </w:rPr>
        <w:t>号），结合我区实际，制定我区国有土地上房屋征收补偿及奖励补助标准。</w:t>
      </w:r>
    </w:p>
    <w:p>
      <w:pPr>
        <w:spacing w:line="580" w:lineRule="exact"/>
        <w:ind w:firstLine="680"/>
        <w:rPr>
          <w:rFonts w:hint="eastAsia" w:ascii="方正黑体_GBK" w:hAnsi="Calibri" w:eastAsia="方正黑体_GBK" w:cs="Times New Roman"/>
          <w:kern w:val="0"/>
          <w:sz w:val="32"/>
        </w:rPr>
      </w:pPr>
      <w:r>
        <w:rPr>
          <w:rFonts w:hint="eastAsia" w:ascii="方正黑体_GBK" w:hAnsi="Calibri" w:eastAsia="方正黑体_GBK" w:cs="Times New Roman"/>
          <w:kern w:val="0"/>
          <w:sz w:val="32"/>
        </w:rPr>
        <w:t xml:space="preserve">第一条 停产停业损失补偿 </w:t>
      </w:r>
    </w:p>
    <w:p>
      <w:pPr>
        <w:spacing w:line="580" w:lineRule="exact"/>
        <w:ind w:firstLine="680"/>
        <w:jc w:val="left"/>
        <w:rPr>
          <w:rFonts w:hint="eastAsia" w:ascii="方正仿宋_GBK" w:hAnsi="Calibri" w:eastAsia="方正仿宋_GBK" w:cs="Times New Roman"/>
          <w:kern w:val="0"/>
          <w:sz w:val="32"/>
        </w:rPr>
      </w:pPr>
      <w:r>
        <w:rPr>
          <w:rFonts w:hint="eastAsia" w:ascii="方正仿宋_GBK" w:hAnsi="Calibri" w:eastAsia="方正仿宋_GBK" w:cs="Times New Roman"/>
          <w:kern w:val="0"/>
          <w:sz w:val="32"/>
        </w:rPr>
        <w:t>（一）征收非住宅房屋，且在征收项目公布前</w:t>
      </w:r>
      <w:r>
        <w:rPr>
          <w:rFonts w:hint="default" w:ascii="Times New Roman" w:hAnsi="Times New Roman" w:eastAsia="方正仿宋_GBK" w:cs="Times New Roman"/>
          <w:kern w:val="0"/>
          <w:sz w:val="32"/>
        </w:rPr>
        <w:t>2</w:t>
      </w:r>
      <w:r>
        <w:rPr>
          <w:rFonts w:hint="eastAsia" w:ascii="方正仿宋_GBK" w:hAnsi="Calibri" w:eastAsia="方正仿宋_GBK" w:cs="Times New Roman"/>
          <w:kern w:val="0"/>
          <w:sz w:val="32"/>
        </w:rPr>
        <w:t>年内有合法有效营业执照及完税凭证的，给予停产停业损失补偿。</w:t>
      </w:r>
    </w:p>
    <w:p>
      <w:pPr>
        <w:spacing w:line="580" w:lineRule="exact"/>
        <w:ind w:firstLine="680"/>
        <w:jc w:val="left"/>
        <w:rPr>
          <w:rFonts w:hint="eastAsia" w:ascii="方正仿宋_GBK" w:hAnsi="Calibri" w:eastAsia="方正仿宋_GBK" w:cs="Times New Roman"/>
          <w:kern w:val="0"/>
          <w:sz w:val="32"/>
        </w:rPr>
      </w:pPr>
      <w:r>
        <w:rPr>
          <w:rFonts w:hint="eastAsia" w:ascii="方正仿宋_GBK" w:hAnsi="Calibri" w:eastAsia="方正仿宋_GBK" w:cs="Times New Roman"/>
          <w:kern w:val="0"/>
          <w:sz w:val="32"/>
        </w:rPr>
        <w:t>被征收人选择货币补偿的，按照房屋评估价值的</w:t>
      </w:r>
      <w:r>
        <w:rPr>
          <w:rFonts w:hint="default" w:ascii="Times New Roman" w:hAnsi="Times New Roman" w:eastAsia="方正仿宋_GBK" w:cs="Times New Roman"/>
          <w:kern w:val="0"/>
          <w:sz w:val="32"/>
        </w:rPr>
        <w:t>6</w:t>
      </w:r>
      <w:r>
        <w:rPr>
          <w:rFonts w:hint="eastAsia" w:ascii="方正仿宋_GBK" w:hAnsi="Calibri" w:eastAsia="方正仿宋_GBK" w:cs="Times New Roman"/>
          <w:kern w:val="0"/>
          <w:sz w:val="32"/>
        </w:rPr>
        <w:t>%一次性支付停产停业损失补偿费；被征收人选择产权调换的，停产停业期间每月按照房屋评估价值的</w:t>
      </w:r>
      <w:r>
        <w:rPr>
          <w:rFonts w:hint="default" w:ascii="Times New Roman" w:hAnsi="Times New Roman" w:eastAsia="方正仿宋_GBK" w:cs="Times New Roman"/>
          <w:kern w:val="0"/>
          <w:sz w:val="32"/>
        </w:rPr>
        <w:t>5</w:t>
      </w:r>
      <w:r>
        <w:rPr>
          <w:rFonts w:hint="eastAsia" w:ascii="方正仿宋_GBK" w:hAnsi="Calibri" w:eastAsia="方正仿宋_GBK" w:cs="Times New Roman"/>
          <w:kern w:val="0"/>
          <w:sz w:val="32"/>
        </w:rPr>
        <w:t>‰支付停产停业损失补偿费，停产停业期限按照协议约定计算。已提供临时周转房的，不支付停产停业损失补偿费。区房屋征收部门未按协议约定日期交付产权调换房屋，导致过渡期限延长的，自逾期之月起每月按照房屋评估价值的</w:t>
      </w:r>
      <w:r>
        <w:rPr>
          <w:rFonts w:hint="default" w:ascii="Times New Roman" w:hAnsi="Times New Roman" w:eastAsia="方正仿宋_GBK" w:cs="Times New Roman"/>
          <w:kern w:val="0"/>
          <w:sz w:val="32"/>
        </w:rPr>
        <w:t>5</w:t>
      </w:r>
      <w:r>
        <w:rPr>
          <w:rFonts w:hint="eastAsia" w:ascii="方正仿宋_GBK" w:hAnsi="Calibri" w:eastAsia="方正仿宋_GBK" w:cs="Times New Roman"/>
          <w:kern w:val="0"/>
          <w:sz w:val="32"/>
        </w:rPr>
        <w:t>‰加付停产停业损失补偿费。</w:t>
      </w:r>
    </w:p>
    <w:p>
      <w:pPr>
        <w:spacing w:line="580" w:lineRule="exact"/>
        <w:ind w:firstLine="680"/>
        <w:jc w:val="left"/>
        <w:rPr>
          <w:rFonts w:hint="eastAsia" w:ascii="方正仿宋_GBK" w:hAnsi="Calibri" w:eastAsia="方正仿宋_GBK" w:cs="Times New Roman"/>
          <w:kern w:val="0"/>
          <w:sz w:val="32"/>
        </w:rPr>
      </w:pPr>
      <w:r>
        <w:rPr>
          <w:rFonts w:hint="eastAsia" w:ascii="方正仿宋_GBK" w:hAnsi="Calibri" w:eastAsia="方正仿宋_GBK" w:cs="Times New Roman"/>
          <w:kern w:val="0"/>
          <w:sz w:val="32"/>
        </w:rPr>
        <w:t>被征收房屋符合前款规定，且用于生产制造的，停产停业损失的补偿标准可以适当提高，提高的幅度不超过前款规定补偿标准的</w:t>
      </w:r>
      <w:r>
        <w:rPr>
          <w:rFonts w:hint="default" w:ascii="Times New Roman" w:hAnsi="Times New Roman" w:eastAsia="方正仿宋_GBK" w:cs="Times New Roman"/>
          <w:kern w:val="0"/>
          <w:sz w:val="32"/>
        </w:rPr>
        <w:t>50</w:t>
      </w:r>
      <w:r>
        <w:rPr>
          <w:rFonts w:hint="eastAsia" w:ascii="方正仿宋_GBK" w:hAnsi="Calibri" w:eastAsia="方正仿宋_GBK" w:cs="Times New Roman"/>
          <w:kern w:val="0"/>
          <w:sz w:val="32"/>
        </w:rPr>
        <w:t>%。</w:t>
      </w:r>
    </w:p>
    <w:p>
      <w:pPr>
        <w:spacing w:line="580" w:lineRule="exact"/>
        <w:ind w:firstLine="680"/>
        <w:jc w:val="left"/>
        <w:rPr>
          <w:rFonts w:hint="eastAsia" w:ascii="方正仿宋_GBK" w:hAnsi="Calibri" w:eastAsia="方正仿宋_GBK" w:cs="Times New Roman"/>
          <w:kern w:val="0"/>
          <w:sz w:val="32"/>
        </w:rPr>
      </w:pPr>
      <w:r>
        <w:rPr>
          <w:rFonts w:hint="eastAsia" w:ascii="方正仿宋_GBK" w:hAnsi="Calibri" w:eastAsia="方正仿宋_GBK" w:cs="Times New Roman"/>
          <w:kern w:val="0"/>
          <w:sz w:val="32"/>
        </w:rPr>
        <w:t>被征收房屋的生产、经营单位或个人不是被征收人的，依照与被征收人的约定分配停产停业损失；没有约定的，由被征收人和生产、经营的单位或个人协商解决，协商不成的，由被征收人和生产、经营的单位或个人通过法律途径解决。</w:t>
      </w:r>
    </w:p>
    <w:p>
      <w:pPr>
        <w:spacing w:line="580" w:lineRule="exact"/>
        <w:ind w:firstLine="680"/>
        <w:rPr>
          <w:rFonts w:hint="eastAsia" w:ascii="方正仿宋_GBK" w:hAnsi="Calibri" w:eastAsia="方正仿宋_GBK" w:cs="Times New Roman"/>
          <w:kern w:val="0"/>
          <w:sz w:val="32"/>
        </w:rPr>
      </w:pPr>
      <w:r>
        <w:rPr>
          <w:rFonts w:hint="eastAsia" w:ascii="方正仿宋_GBK" w:hAnsi="Calibri" w:eastAsia="方正仿宋_GBK" w:cs="Times New Roman"/>
          <w:kern w:val="0"/>
          <w:sz w:val="32"/>
        </w:rPr>
        <w:t>（二）被征收房屋为住宅，而实际改为非住宅使用的，应当按照住宅进行评估、补偿；被征收房屋产权人、房屋坐落与市场主体注册登记、税务登记的证明一致，且在征收项目发布前连续合法经营</w:t>
      </w:r>
      <w:r>
        <w:rPr>
          <w:rFonts w:hint="default" w:ascii="Times New Roman" w:hAnsi="Times New Roman" w:eastAsia="方正仿宋_GBK" w:cs="Times New Roman"/>
          <w:kern w:val="0"/>
          <w:sz w:val="32"/>
        </w:rPr>
        <w:t>2</w:t>
      </w:r>
      <w:r>
        <w:rPr>
          <w:rFonts w:hint="eastAsia" w:ascii="方正仿宋_GBK" w:hAnsi="Calibri" w:eastAsia="方正仿宋_GBK" w:cs="Times New Roman"/>
          <w:kern w:val="0"/>
          <w:sz w:val="32"/>
        </w:rPr>
        <w:t>年以上并能够提供相应完税凭证的，可以结合实际用途按照房屋评估价值的</w:t>
      </w:r>
      <w:r>
        <w:rPr>
          <w:rFonts w:hint="default" w:ascii="Times New Roman" w:hAnsi="Times New Roman" w:eastAsia="方正仿宋_GBK" w:cs="Times New Roman"/>
          <w:kern w:val="0"/>
          <w:sz w:val="32"/>
        </w:rPr>
        <w:t>6</w:t>
      </w:r>
      <w:r>
        <w:rPr>
          <w:rFonts w:hint="eastAsia" w:ascii="方正仿宋_GBK" w:hAnsi="Calibri" w:eastAsia="方正仿宋_GBK" w:cs="Times New Roman"/>
          <w:kern w:val="0"/>
          <w:sz w:val="32"/>
        </w:rPr>
        <w:t>%给予一次性停产停业损失补偿。</w:t>
      </w:r>
    </w:p>
    <w:p>
      <w:pPr>
        <w:spacing w:line="580" w:lineRule="exact"/>
        <w:ind w:firstLine="680"/>
        <w:rPr>
          <w:rFonts w:hint="eastAsia" w:ascii="方正黑体_GBK" w:hAnsi="Calibri" w:eastAsia="方正黑体_GBK" w:cs="Times New Roman"/>
          <w:kern w:val="0"/>
          <w:sz w:val="32"/>
        </w:rPr>
      </w:pPr>
      <w:r>
        <w:rPr>
          <w:rFonts w:hint="eastAsia" w:ascii="方正黑体_GBK" w:hAnsi="Calibri" w:eastAsia="方正黑体_GBK" w:cs="Times New Roman"/>
          <w:kern w:val="0"/>
          <w:sz w:val="32"/>
        </w:rPr>
        <w:t>第二条 室内装饰装修及构附属物补偿</w:t>
      </w:r>
    </w:p>
    <w:p>
      <w:pPr>
        <w:spacing w:line="580" w:lineRule="exact"/>
        <w:ind w:firstLine="680"/>
        <w:rPr>
          <w:rFonts w:hint="eastAsia" w:ascii="方正仿宋_GBK" w:hAnsi="Calibri" w:eastAsia="方正仿宋_GBK" w:cs="Times New Roman"/>
          <w:kern w:val="0"/>
          <w:sz w:val="32"/>
        </w:rPr>
      </w:pPr>
      <w:r>
        <w:rPr>
          <w:rFonts w:hint="eastAsia" w:ascii="方正仿宋_GBK" w:hAnsi="Calibri" w:eastAsia="方正仿宋_GBK" w:cs="Times New Roman"/>
          <w:kern w:val="0"/>
          <w:sz w:val="32"/>
        </w:rPr>
        <w:t>对被征收人有证房屋及认定为合法建筑的房屋，其室内装饰装修按照以下标准补偿：</w:t>
      </w:r>
    </w:p>
    <w:p>
      <w:pPr>
        <w:spacing w:line="580" w:lineRule="exact"/>
        <w:ind w:firstLine="680"/>
        <w:rPr>
          <w:rFonts w:hint="eastAsia" w:ascii="方正仿宋_GBK" w:hAnsi="Calibri" w:eastAsia="方正仿宋_GBK" w:cs="Times New Roman"/>
          <w:kern w:val="0"/>
          <w:sz w:val="32"/>
        </w:rPr>
      </w:pPr>
      <w:r>
        <w:rPr>
          <w:rFonts w:hint="eastAsia" w:ascii="方正仿宋_GBK" w:hAnsi="Calibri" w:eastAsia="方正仿宋_GBK" w:cs="Times New Roman"/>
          <w:kern w:val="0"/>
          <w:sz w:val="32"/>
        </w:rPr>
        <w:t>（一）住宅：</w:t>
      </w:r>
      <w:r>
        <w:rPr>
          <w:rFonts w:hint="default" w:ascii="Times New Roman" w:hAnsi="Times New Roman" w:eastAsia="方正仿宋_GBK" w:cs="Times New Roman"/>
          <w:kern w:val="0"/>
          <w:sz w:val="32"/>
        </w:rPr>
        <w:t>400</w:t>
      </w:r>
      <w:r>
        <w:rPr>
          <w:rFonts w:hint="eastAsia" w:ascii="方正仿宋_GBK" w:hAnsi="Calibri" w:eastAsia="方正仿宋_GBK" w:cs="Times New Roman"/>
          <w:kern w:val="0"/>
          <w:sz w:val="32"/>
        </w:rPr>
        <w:t xml:space="preserve"> 元/平方米；</w:t>
      </w:r>
    </w:p>
    <w:p>
      <w:pPr>
        <w:spacing w:line="580" w:lineRule="exact"/>
        <w:ind w:firstLine="680"/>
        <w:rPr>
          <w:rFonts w:hint="eastAsia" w:ascii="方正仿宋_GBK" w:hAnsi="Calibri" w:eastAsia="方正仿宋_GBK" w:cs="Times New Roman"/>
          <w:kern w:val="0"/>
          <w:sz w:val="32"/>
        </w:rPr>
      </w:pPr>
      <w:r>
        <w:rPr>
          <w:rFonts w:hint="eastAsia" w:ascii="方正仿宋_GBK" w:hAnsi="Calibri" w:eastAsia="方正仿宋_GBK" w:cs="Times New Roman"/>
          <w:kern w:val="0"/>
          <w:sz w:val="32"/>
        </w:rPr>
        <w:t>（二）非住宅：</w:t>
      </w:r>
      <w:r>
        <w:rPr>
          <w:rFonts w:hint="default" w:ascii="Times New Roman" w:hAnsi="Times New Roman" w:eastAsia="方正仿宋_GBK" w:cs="Times New Roman"/>
          <w:kern w:val="0"/>
          <w:sz w:val="32"/>
        </w:rPr>
        <w:t>1</w:t>
      </w:r>
      <w:r>
        <w:rPr>
          <w:rFonts w:hint="eastAsia" w:ascii="方正仿宋_GBK" w:hAnsi="Calibri" w:eastAsia="方正仿宋_GBK" w:cs="Times New Roman"/>
          <w:kern w:val="0"/>
          <w:sz w:val="32"/>
        </w:rPr>
        <w:t>.商业、办公、业务用房</w:t>
      </w:r>
      <w:r>
        <w:rPr>
          <w:rFonts w:hint="default" w:ascii="Times New Roman" w:hAnsi="Times New Roman" w:eastAsia="方正仿宋_GBK" w:cs="Times New Roman"/>
          <w:kern w:val="0"/>
          <w:sz w:val="32"/>
        </w:rPr>
        <w:t>300</w:t>
      </w:r>
      <w:r>
        <w:rPr>
          <w:rFonts w:hint="eastAsia" w:ascii="方正仿宋_GBK" w:hAnsi="Calibri" w:eastAsia="方正仿宋_GBK" w:cs="Times New Roman"/>
          <w:kern w:val="0"/>
          <w:sz w:val="32"/>
        </w:rPr>
        <w:t>元/平方米；</w:t>
      </w:r>
    </w:p>
    <w:p>
      <w:pPr>
        <w:spacing w:line="580" w:lineRule="exact"/>
        <w:ind w:firstLine="680"/>
        <w:rPr>
          <w:rFonts w:hint="eastAsia" w:ascii="方正仿宋_GBK" w:hAnsi="Calibri" w:eastAsia="方正仿宋_GBK" w:cs="Times New Roman"/>
          <w:kern w:val="0"/>
          <w:sz w:val="32"/>
        </w:rPr>
      </w:pPr>
      <w:r>
        <w:rPr>
          <w:rFonts w:hint="default" w:ascii="Times New Roman" w:hAnsi="Times New Roman" w:eastAsia="方正仿宋_GBK" w:cs="Times New Roman"/>
          <w:kern w:val="0"/>
          <w:sz w:val="32"/>
        </w:rPr>
        <w:t>2</w:t>
      </w:r>
      <w:r>
        <w:rPr>
          <w:rFonts w:hint="eastAsia" w:ascii="方正仿宋_GBK" w:hAnsi="Calibri" w:eastAsia="方正仿宋_GBK" w:cs="Times New Roman"/>
          <w:kern w:val="0"/>
          <w:sz w:val="32"/>
        </w:rPr>
        <w:t>.生产用房</w:t>
      </w:r>
      <w:r>
        <w:rPr>
          <w:rFonts w:hint="default" w:ascii="Times New Roman" w:hAnsi="Times New Roman" w:eastAsia="方正仿宋_GBK" w:cs="Times New Roman"/>
          <w:kern w:val="0"/>
          <w:sz w:val="32"/>
        </w:rPr>
        <w:t>100</w:t>
      </w:r>
      <w:r>
        <w:rPr>
          <w:rFonts w:hint="eastAsia" w:ascii="方正仿宋_GBK" w:hAnsi="Calibri" w:eastAsia="方正仿宋_GBK" w:cs="Times New Roman"/>
          <w:kern w:val="0"/>
          <w:sz w:val="32"/>
        </w:rPr>
        <w:t>元/平方米。</w:t>
      </w:r>
    </w:p>
    <w:p>
      <w:pPr>
        <w:spacing w:line="580" w:lineRule="exact"/>
        <w:ind w:firstLine="680"/>
        <w:rPr>
          <w:rFonts w:hint="eastAsia" w:ascii="方正仿宋_GBK" w:hAnsi="Calibri" w:eastAsia="方正仿宋_GBK" w:cs="Times New Roman"/>
          <w:kern w:val="0"/>
          <w:sz w:val="32"/>
        </w:rPr>
      </w:pPr>
      <w:r>
        <w:rPr>
          <w:rFonts w:hint="eastAsia" w:ascii="方正仿宋_GBK" w:hAnsi="Calibri" w:eastAsia="方正仿宋_GBK" w:cs="Times New Roman"/>
          <w:kern w:val="0"/>
          <w:sz w:val="32"/>
        </w:rPr>
        <w:t>被征收人对补偿标准有异议的，由房屋征收当事人协商确定；协商不成的，经书面申请，由对被征收房屋价值进行评估的同一评估机构进行装饰装修评估，按照评估价格进行补偿，不再执行上述补偿标准。</w:t>
      </w:r>
    </w:p>
    <w:p>
      <w:pPr>
        <w:spacing w:line="580" w:lineRule="exact"/>
        <w:ind w:firstLine="680"/>
        <w:rPr>
          <w:rFonts w:hint="eastAsia" w:ascii="方正仿宋_GBK" w:hAnsi="Calibri" w:eastAsia="方正仿宋_GBK" w:cs="Times New Roman"/>
          <w:kern w:val="0"/>
          <w:sz w:val="32"/>
        </w:rPr>
      </w:pPr>
      <w:r>
        <w:rPr>
          <w:rFonts w:hint="eastAsia" w:ascii="方正仿宋_GBK" w:hAnsi="Calibri" w:eastAsia="方正仿宋_GBK" w:cs="Times New Roman"/>
          <w:kern w:val="0"/>
          <w:sz w:val="32"/>
        </w:rPr>
        <w:t>构筑物、附属物由同一评估机构进行评估，按照评估价格补偿。</w:t>
      </w:r>
    </w:p>
    <w:p>
      <w:pPr>
        <w:spacing w:line="580" w:lineRule="exact"/>
        <w:ind w:firstLine="680"/>
        <w:rPr>
          <w:rFonts w:hint="eastAsia" w:ascii="方正黑体_GBK" w:hAnsi="Calibri" w:eastAsia="方正黑体_GBK" w:cs="Times New Roman"/>
          <w:kern w:val="0"/>
          <w:sz w:val="32"/>
        </w:rPr>
      </w:pPr>
      <w:r>
        <w:rPr>
          <w:rFonts w:hint="eastAsia" w:ascii="方正黑体_GBK" w:hAnsi="Calibri" w:eastAsia="方正黑体_GBK" w:cs="Times New Roman"/>
          <w:kern w:val="0"/>
          <w:sz w:val="32"/>
        </w:rPr>
        <w:t>第三条 附属设施补偿</w:t>
      </w:r>
    </w:p>
    <w:p>
      <w:pPr>
        <w:spacing w:line="580" w:lineRule="exact"/>
        <w:ind w:firstLine="680"/>
        <w:rPr>
          <w:rFonts w:hint="eastAsia" w:ascii="方正仿宋_GBK" w:hAnsi="Calibri" w:eastAsia="方正仿宋_GBK" w:cs="Times New Roman"/>
          <w:kern w:val="0"/>
          <w:sz w:val="32"/>
        </w:rPr>
      </w:pPr>
      <w:r>
        <w:rPr>
          <w:rFonts w:hint="eastAsia" w:ascii="方正仿宋_GBK" w:hAnsi="Calibri" w:eastAsia="方正仿宋_GBK" w:cs="Times New Roman"/>
          <w:kern w:val="0"/>
          <w:sz w:val="32"/>
        </w:rPr>
        <w:t>（一）民用附属设施：存在行业现行收费标准的，从其标准规定，没有行业标准的，按照下述标准执行：水表</w:t>
      </w:r>
      <w:r>
        <w:rPr>
          <w:rFonts w:hint="default" w:ascii="Times New Roman" w:hAnsi="Times New Roman" w:eastAsia="方正仿宋_GBK" w:cs="Times New Roman"/>
          <w:kern w:val="0"/>
          <w:sz w:val="32"/>
        </w:rPr>
        <w:t>600</w:t>
      </w:r>
      <w:r>
        <w:rPr>
          <w:rFonts w:hint="eastAsia" w:ascii="方正仿宋_GBK" w:hAnsi="Calibri" w:eastAsia="方正仿宋_GBK" w:cs="Times New Roman"/>
          <w:kern w:val="0"/>
          <w:sz w:val="32"/>
        </w:rPr>
        <w:t>元/户；电表</w:t>
      </w:r>
      <w:r>
        <w:rPr>
          <w:rFonts w:hint="default" w:ascii="Times New Roman" w:hAnsi="Times New Roman" w:eastAsia="方正仿宋_GBK" w:cs="Times New Roman"/>
          <w:kern w:val="0"/>
          <w:sz w:val="32"/>
        </w:rPr>
        <w:t>600</w:t>
      </w:r>
      <w:r>
        <w:rPr>
          <w:rFonts w:hint="eastAsia" w:ascii="方正仿宋_GBK" w:hAnsi="Calibri" w:eastAsia="方正仿宋_GBK" w:cs="Times New Roman"/>
          <w:kern w:val="0"/>
          <w:sz w:val="32"/>
        </w:rPr>
        <w:t>元/户；天然气</w:t>
      </w:r>
      <w:r>
        <w:rPr>
          <w:rFonts w:hint="default" w:ascii="Times New Roman" w:hAnsi="Times New Roman" w:eastAsia="方正仿宋_GBK" w:cs="Times New Roman"/>
          <w:kern w:val="0"/>
          <w:sz w:val="32"/>
        </w:rPr>
        <w:t>3500</w:t>
      </w:r>
      <w:r>
        <w:rPr>
          <w:rFonts w:hint="eastAsia" w:ascii="方正仿宋_GBK" w:hAnsi="Calibri" w:eastAsia="方正仿宋_GBK" w:cs="Times New Roman"/>
          <w:kern w:val="0"/>
          <w:sz w:val="32"/>
        </w:rPr>
        <w:t>元/户；闭路</w:t>
      </w:r>
      <w:r>
        <w:rPr>
          <w:rFonts w:hint="default" w:ascii="Times New Roman" w:hAnsi="Times New Roman" w:eastAsia="方正仿宋_GBK" w:cs="Times New Roman"/>
          <w:kern w:val="0"/>
          <w:sz w:val="32"/>
        </w:rPr>
        <w:t>450</w:t>
      </w:r>
      <w:r>
        <w:rPr>
          <w:rFonts w:hint="eastAsia" w:ascii="方正仿宋_GBK" w:hAnsi="Calibri" w:eastAsia="方正仿宋_GBK" w:cs="Times New Roman"/>
          <w:kern w:val="0"/>
          <w:sz w:val="32"/>
        </w:rPr>
        <w:t>元/户；宽带</w:t>
      </w:r>
      <w:r>
        <w:rPr>
          <w:rFonts w:hint="default" w:ascii="Times New Roman" w:hAnsi="Times New Roman" w:eastAsia="方正仿宋_GBK" w:cs="Times New Roman"/>
          <w:kern w:val="0"/>
          <w:sz w:val="32"/>
        </w:rPr>
        <w:t>300</w:t>
      </w:r>
      <w:r>
        <w:rPr>
          <w:rFonts w:hint="eastAsia" w:ascii="方正仿宋_GBK" w:hAnsi="Calibri" w:eastAsia="方正仿宋_GBK" w:cs="Times New Roman"/>
          <w:kern w:val="0"/>
          <w:sz w:val="32"/>
        </w:rPr>
        <w:t xml:space="preserve">元/户。本条涉及的“户”以缴费户为单位。 </w:t>
      </w:r>
    </w:p>
    <w:p>
      <w:pPr>
        <w:spacing w:line="580" w:lineRule="exact"/>
        <w:ind w:firstLine="680"/>
        <w:rPr>
          <w:rFonts w:hint="eastAsia" w:ascii="方正仿宋_GBK" w:hAnsi="Calibri" w:eastAsia="方正仿宋_GBK" w:cs="Times New Roman"/>
          <w:kern w:val="0"/>
          <w:sz w:val="32"/>
        </w:rPr>
      </w:pPr>
      <w:r>
        <w:rPr>
          <w:rFonts w:hint="eastAsia" w:ascii="方正仿宋_GBK" w:hAnsi="Calibri" w:eastAsia="方正仿宋_GBK" w:cs="Times New Roman"/>
          <w:kern w:val="0"/>
          <w:sz w:val="32"/>
        </w:rPr>
        <w:t>选择货币补偿的，按上述标准给予补偿；选择房屋产权调换的，不给予补偿，由征收人恢复安装，不另行收费。</w:t>
      </w:r>
    </w:p>
    <w:p>
      <w:pPr>
        <w:spacing w:line="580" w:lineRule="exact"/>
        <w:ind w:firstLine="680"/>
        <w:rPr>
          <w:rFonts w:hint="eastAsia" w:ascii="方正仿宋_GBK" w:hAnsi="Calibri" w:eastAsia="方正仿宋_GBK" w:cs="Times New Roman"/>
          <w:kern w:val="0"/>
          <w:sz w:val="32"/>
          <w:u w:val="single"/>
        </w:rPr>
      </w:pPr>
      <w:r>
        <w:rPr>
          <w:rFonts w:hint="eastAsia" w:ascii="方正仿宋_GBK" w:hAnsi="Calibri" w:eastAsia="方正仿宋_GBK" w:cs="Times New Roman"/>
          <w:kern w:val="0"/>
          <w:sz w:val="32"/>
        </w:rPr>
        <w:t>（二）非民用及其他附属设施：补偿标准由对被征收房屋价值进行评估的同一评估机构评估确定。</w:t>
      </w:r>
    </w:p>
    <w:p>
      <w:pPr>
        <w:spacing w:line="580" w:lineRule="exact"/>
        <w:ind w:firstLine="680"/>
        <w:rPr>
          <w:rFonts w:hint="eastAsia" w:ascii="方正黑体_GBK" w:hAnsi="Calibri" w:eastAsia="方正黑体_GBK" w:cs="Times New Roman"/>
          <w:kern w:val="0"/>
          <w:sz w:val="32"/>
        </w:rPr>
      </w:pPr>
      <w:r>
        <w:rPr>
          <w:rFonts w:hint="eastAsia" w:ascii="方正黑体_GBK" w:hAnsi="Calibri" w:eastAsia="方正黑体_GBK" w:cs="Times New Roman"/>
          <w:kern w:val="0"/>
          <w:sz w:val="32"/>
        </w:rPr>
        <w:t>第四条 市场主体的设施设备损失补偿</w:t>
      </w:r>
    </w:p>
    <w:p>
      <w:pPr>
        <w:spacing w:line="580" w:lineRule="exact"/>
        <w:ind w:firstLine="680"/>
        <w:rPr>
          <w:rFonts w:hint="eastAsia" w:ascii="方正仿宋_GBK" w:hAnsi="Calibri" w:eastAsia="方正仿宋_GBK" w:cs="Times New Roman"/>
          <w:kern w:val="0"/>
          <w:sz w:val="32"/>
        </w:rPr>
      </w:pPr>
      <w:r>
        <w:rPr>
          <w:rFonts w:hint="eastAsia" w:ascii="方正仿宋_GBK" w:hAnsi="Calibri" w:eastAsia="方正仿宋_GBK" w:cs="Times New Roman"/>
          <w:kern w:val="0"/>
          <w:sz w:val="32"/>
        </w:rPr>
        <w:t>因房屋征收造成企业等市场主体设施设备价值损失的，应当给予补偿。搬迁后不丧失使用价值的，搬迁补助费按照所搬迁设施设备折旧后净值的</w:t>
      </w:r>
      <w:r>
        <w:rPr>
          <w:rFonts w:hint="default" w:ascii="Times New Roman" w:hAnsi="Times New Roman" w:eastAsia="方正仿宋_GBK" w:cs="Times New Roman"/>
          <w:kern w:val="0"/>
          <w:sz w:val="32"/>
        </w:rPr>
        <w:t>10</w:t>
      </w:r>
      <w:r>
        <w:rPr>
          <w:rFonts w:hint="eastAsia" w:ascii="方正仿宋_GBK" w:hAnsi="Calibri" w:eastAsia="方正仿宋_GBK" w:cs="Times New Roman"/>
          <w:kern w:val="0"/>
          <w:sz w:val="32"/>
        </w:rPr>
        <w:t>%以上</w:t>
      </w:r>
      <w:r>
        <w:rPr>
          <w:rFonts w:hint="default" w:ascii="Times New Roman" w:hAnsi="Times New Roman" w:eastAsia="方正仿宋_GBK" w:cs="Times New Roman"/>
          <w:kern w:val="0"/>
          <w:sz w:val="32"/>
        </w:rPr>
        <w:t>20</w:t>
      </w:r>
      <w:r>
        <w:rPr>
          <w:rFonts w:hint="eastAsia" w:ascii="方正仿宋_GBK" w:hAnsi="Calibri" w:eastAsia="方正仿宋_GBK" w:cs="Times New Roman"/>
          <w:kern w:val="0"/>
          <w:sz w:val="32"/>
        </w:rPr>
        <w:t>%以下计算；搬迁后丧失使用价值的，参照评估价值予以补偿。除区房屋征收部门有专门要求外，补偿后的设施设备应</w:t>
      </w:r>
      <w:r>
        <w:rPr>
          <w:rFonts w:hint="eastAsia" w:ascii="方正仿宋_GBK" w:hAnsi="Calibri" w:eastAsia="方正仿宋_GBK" w:cs="Times New Roman"/>
          <w:kern w:val="0"/>
          <w:sz w:val="32"/>
        </w:rPr>
        <w:softHyphen/>
      </w:r>
      <w:r>
        <w:rPr>
          <w:rFonts w:hint="eastAsia" w:ascii="方正仿宋_GBK" w:hAnsi="Calibri" w:eastAsia="方正仿宋_GBK" w:cs="Times New Roman"/>
          <w:kern w:val="0"/>
          <w:sz w:val="32"/>
        </w:rPr>
        <w:softHyphen/>
      </w:r>
      <w:r>
        <w:rPr>
          <w:rFonts w:hint="eastAsia" w:ascii="方正仿宋_GBK" w:hAnsi="Calibri" w:eastAsia="方正仿宋_GBK" w:cs="Times New Roman"/>
          <w:kern w:val="0"/>
          <w:sz w:val="32"/>
        </w:rPr>
        <w:softHyphen/>
      </w:r>
      <w:r>
        <w:rPr>
          <w:rFonts w:hint="eastAsia" w:ascii="方正仿宋_GBK" w:hAnsi="Calibri" w:eastAsia="方正仿宋_GBK" w:cs="Times New Roman"/>
          <w:kern w:val="0"/>
          <w:sz w:val="32"/>
        </w:rPr>
        <w:t>由被征收人自行拆除、搬离。</w:t>
      </w:r>
    </w:p>
    <w:p>
      <w:pPr>
        <w:spacing w:line="580" w:lineRule="exact"/>
        <w:ind w:firstLine="680"/>
        <w:rPr>
          <w:rFonts w:hint="eastAsia" w:ascii="方正仿宋_GBK" w:hAnsi="Calibri" w:eastAsia="方正仿宋_GBK" w:cs="Times New Roman"/>
          <w:kern w:val="0"/>
          <w:sz w:val="32"/>
        </w:rPr>
      </w:pPr>
      <w:r>
        <w:rPr>
          <w:rFonts w:hint="eastAsia" w:ascii="方正仿宋_GBK" w:hAnsi="Calibri" w:eastAsia="方正仿宋_GBK" w:cs="Times New Roman"/>
          <w:kern w:val="0"/>
          <w:sz w:val="32"/>
        </w:rPr>
        <w:t>对设施设备进行评估的，企业等市场主体应当提供设施设备购置及其品牌、编号等相关凭据。</w:t>
      </w:r>
    </w:p>
    <w:p>
      <w:pPr>
        <w:spacing w:line="580" w:lineRule="exact"/>
        <w:ind w:firstLine="680"/>
        <w:rPr>
          <w:rFonts w:hint="eastAsia" w:ascii="方正黑体_GBK" w:hAnsi="Calibri" w:eastAsia="方正黑体_GBK" w:cs="Times New Roman"/>
          <w:kern w:val="0"/>
          <w:sz w:val="32"/>
        </w:rPr>
      </w:pPr>
      <w:r>
        <w:rPr>
          <w:rFonts w:hint="eastAsia" w:ascii="方正黑体_GBK" w:hAnsi="Calibri" w:eastAsia="方正黑体_GBK" w:cs="Times New Roman"/>
          <w:kern w:val="0"/>
          <w:sz w:val="32"/>
        </w:rPr>
        <w:t xml:space="preserve">第五条 补偿方式选择的引导奖励 </w:t>
      </w:r>
    </w:p>
    <w:p>
      <w:pPr>
        <w:spacing w:line="580" w:lineRule="exact"/>
        <w:ind w:firstLine="680"/>
        <w:rPr>
          <w:rFonts w:hint="eastAsia" w:ascii="方正仿宋_GBK" w:hAnsi="Calibri" w:eastAsia="方正仿宋_GBK" w:cs="Times New Roman"/>
          <w:kern w:val="0"/>
          <w:sz w:val="32"/>
        </w:rPr>
      </w:pPr>
      <w:r>
        <w:rPr>
          <w:rFonts w:hint="eastAsia" w:ascii="方正仿宋_GBK" w:hAnsi="Calibri" w:eastAsia="方正仿宋_GBK" w:cs="Times New Roman"/>
          <w:kern w:val="0"/>
          <w:sz w:val="32"/>
        </w:rPr>
        <w:t>根据项目实际情况给予被征收人补偿方式选择的引导奖励，具体以公布的补偿方案为准：</w:t>
      </w:r>
    </w:p>
    <w:p>
      <w:pPr>
        <w:spacing w:line="580" w:lineRule="exact"/>
        <w:ind w:firstLine="680"/>
        <w:rPr>
          <w:rFonts w:hint="eastAsia" w:ascii="方正仿宋_GBK" w:hAnsi="Calibri" w:eastAsia="方正仿宋_GBK" w:cs="Times New Roman"/>
          <w:kern w:val="0"/>
          <w:sz w:val="32"/>
        </w:rPr>
      </w:pPr>
      <w:r>
        <w:rPr>
          <w:rFonts w:hint="eastAsia" w:ascii="方正仿宋_GBK" w:hAnsi="Calibri" w:eastAsia="方正仿宋_GBK" w:cs="Times New Roman"/>
          <w:kern w:val="0"/>
          <w:sz w:val="32"/>
        </w:rPr>
        <w:t>（一）住宅按照不高于被征收房屋评估价值的</w:t>
      </w:r>
      <w:r>
        <w:rPr>
          <w:rFonts w:hint="default" w:ascii="Times New Roman" w:hAnsi="Times New Roman" w:eastAsia="方正仿宋_GBK" w:cs="Times New Roman"/>
          <w:kern w:val="0"/>
          <w:sz w:val="32"/>
        </w:rPr>
        <w:t>12</w:t>
      </w:r>
      <w:r>
        <w:rPr>
          <w:rFonts w:hint="eastAsia" w:ascii="方正仿宋_GBK" w:hAnsi="Calibri" w:eastAsia="方正仿宋_GBK" w:cs="Times New Roman"/>
          <w:kern w:val="0"/>
          <w:sz w:val="32"/>
        </w:rPr>
        <w:t>%给予奖励，非住宅按照不高于被征收房屋评估价值的</w:t>
      </w:r>
      <w:r>
        <w:rPr>
          <w:rFonts w:hint="default" w:ascii="Times New Roman" w:hAnsi="Times New Roman" w:eastAsia="方正仿宋_GBK" w:cs="Times New Roman"/>
          <w:kern w:val="0"/>
          <w:sz w:val="32"/>
        </w:rPr>
        <w:t>5</w:t>
      </w:r>
      <w:r>
        <w:rPr>
          <w:rFonts w:hint="eastAsia" w:ascii="方正仿宋_GBK" w:hAnsi="Calibri" w:eastAsia="方正仿宋_GBK" w:cs="Times New Roman"/>
          <w:kern w:val="0"/>
          <w:sz w:val="32"/>
        </w:rPr>
        <w:t xml:space="preserve">%给予奖励；同一产权房屋中既有住宅又有非住宅的，分别计算奖励。  </w:t>
      </w:r>
    </w:p>
    <w:p>
      <w:pPr>
        <w:spacing w:line="580" w:lineRule="exact"/>
        <w:ind w:firstLine="680"/>
        <w:rPr>
          <w:rFonts w:hint="eastAsia" w:ascii="方正仿宋_GBK" w:hAnsi="Calibri" w:eastAsia="方正仿宋_GBK" w:cs="Times New Roman"/>
          <w:kern w:val="0"/>
          <w:sz w:val="32"/>
        </w:rPr>
      </w:pPr>
      <w:r>
        <w:rPr>
          <w:rFonts w:hint="eastAsia" w:ascii="方正仿宋_GBK" w:hAnsi="Calibri" w:eastAsia="方正仿宋_GBK" w:cs="Times New Roman"/>
          <w:kern w:val="0"/>
          <w:sz w:val="32"/>
        </w:rPr>
        <w:t>（二）被征收房屋为住宅，在规定的签约期限内签约并在协议约定的期限内完成搬迁，或者在规定的签约期限内主动搬迁的，按照被征收房屋评估单价给予不高于</w:t>
      </w:r>
      <w:r>
        <w:rPr>
          <w:rFonts w:hint="default" w:ascii="Times New Roman" w:hAnsi="Times New Roman" w:eastAsia="方正仿宋_GBK" w:cs="Times New Roman"/>
          <w:kern w:val="0"/>
          <w:sz w:val="32"/>
        </w:rPr>
        <w:t>5</w:t>
      </w:r>
      <w:r>
        <w:rPr>
          <w:rFonts w:hint="eastAsia" w:ascii="方正仿宋_GBK" w:hAnsi="Calibri" w:eastAsia="方正仿宋_GBK" w:cs="Times New Roman"/>
          <w:kern w:val="0"/>
          <w:sz w:val="32"/>
        </w:rPr>
        <w:t>平方米的价值奖励。</w:t>
      </w:r>
    </w:p>
    <w:p>
      <w:pPr>
        <w:spacing w:line="580" w:lineRule="exact"/>
        <w:ind w:firstLine="680"/>
        <w:rPr>
          <w:rFonts w:hint="eastAsia" w:ascii="方正黑体_GBK" w:hAnsi="Calibri" w:eastAsia="方正黑体_GBK" w:cs="Times New Roman"/>
          <w:kern w:val="0"/>
          <w:sz w:val="32"/>
        </w:rPr>
      </w:pPr>
      <w:r>
        <w:rPr>
          <w:rFonts w:hint="eastAsia" w:ascii="方正黑体_GBK" w:hAnsi="Calibri" w:eastAsia="方正黑体_GBK" w:cs="Times New Roman"/>
          <w:kern w:val="0"/>
          <w:sz w:val="32"/>
        </w:rPr>
        <w:t>第六条 单户提前签约奖励</w:t>
      </w:r>
    </w:p>
    <w:p>
      <w:pPr>
        <w:spacing w:line="580" w:lineRule="exact"/>
        <w:ind w:firstLine="680"/>
        <w:rPr>
          <w:rFonts w:hint="eastAsia" w:ascii="方正仿宋_GBK" w:hAnsi="Calibri" w:eastAsia="方正仿宋_GBK" w:cs="Times New Roman"/>
          <w:kern w:val="0"/>
          <w:sz w:val="32"/>
        </w:rPr>
      </w:pPr>
      <w:r>
        <w:rPr>
          <w:rFonts w:hint="eastAsia" w:ascii="方正仿宋_GBK" w:hAnsi="Calibri" w:eastAsia="方正仿宋_GBK" w:cs="Times New Roman"/>
          <w:kern w:val="0"/>
          <w:sz w:val="32"/>
        </w:rPr>
        <w:t>（一）被征收人在规定的签约期限内提前签约，按照住宅</w:t>
      </w:r>
      <w:r>
        <w:rPr>
          <w:rFonts w:hint="default" w:ascii="Times New Roman" w:hAnsi="Times New Roman" w:eastAsia="方正仿宋_GBK" w:cs="Times New Roman"/>
          <w:kern w:val="0"/>
          <w:sz w:val="32"/>
        </w:rPr>
        <w:t>500</w:t>
      </w:r>
      <w:r>
        <w:rPr>
          <w:rFonts w:hint="eastAsia" w:ascii="方正仿宋_GBK" w:hAnsi="Calibri" w:eastAsia="方正仿宋_GBK" w:cs="Times New Roman"/>
          <w:kern w:val="0"/>
          <w:sz w:val="32"/>
        </w:rPr>
        <w:t>元/户·日、非住宅</w:t>
      </w:r>
      <w:r>
        <w:rPr>
          <w:rFonts w:hint="default" w:ascii="Times New Roman" w:hAnsi="Times New Roman" w:eastAsia="方正仿宋_GBK" w:cs="Times New Roman"/>
          <w:kern w:val="0"/>
          <w:sz w:val="32"/>
        </w:rPr>
        <w:t>20</w:t>
      </w:r>
      <w:r>
        <w:rPr>
          <w:rFonts w:hint="eastAsia" w:ascii="方正仿宋_GBK" w:hAnsi="Calibri" w:eastAsia="方正仿宋_GBK" w:cs="Times New Roman"/>
          <w:kern w:val="0"/>
          <w:sz w:val="32"/>
        </w:rPr>
        <w:t>元/平方米·日的标准给予单户提前签约奖励。同一产权房屋中既有住宅又有非住宅的，分别计算奖励。</w:t>
      </w:r>
    </w:p>
    <w:p>
      <w:pPr>
        <w:spacing w:line="580" w:lineRule="exact"/>
        <w:ind w:firstLine="680"/>
        <w:rPr>
          <w:rFonts w:hint="eastAsia" w:ascii="方正仿宋_GBK" w:hAnsi="Calibri" w:eastAsia="方正仿宋_GBK" w:cs="Times New Roman"/>
          <w:kern w:val="0"/>
          <w:sz w:val="32"/>
        </w:rPr>
      </w:pPr>
      <w:r>
        <w:rPr>
          <w:rFonts w:hint="eastAsia" w:ascii="方正仿宋_GBK" w:hAnsi="Calibri" w:eastAsia="方正仿宋_GBK" w:cs="Times New Roman"/>
          <w:kern w:val="0"/>
          <w:sz w:val="32"/>
        </w:rPr>
        <w:t>（二）提前天数自被征收人签约之日起计算，截至签约期限届满之日为止，最高不超过规定的签约期限。因旧城区改建需要征收房屋，被征收人预签协议达到生效条件的，视为签约期首日签约，全额享受单户提前签约奖励。</w:t>
      </w:r>
    </w:p>
    <w:p>
      <w:pPr>
        <w:spacing w:line="580" w:lineRule="exact"/>
        <w:ind w:firstLine="680"/>
        <w:rPr>
          <w:rFonts w:hint="eastAsia" w:ascii="方正黑体_GBK" w:hAnsi="Calibri" w:eastAsia="方正黑体_GBK" w:cs="Times New Roman"/>
          <w:kern w:val="0"/>
          <w:sz w:val="32"/>
        </w:rPr>
      </w:pPr>
      <w:r>
        <w:rPr>
          <w:rFonts w:hint="eastAsia" w:ascii="方正黑体_GBK" w:hAnsi="Calibri" w:eastAsia="方正黑体_GBK" w:cs="Times New Roman"/>
          <w:kern w:val="0"/>
          <w:sz w:val="32"/>
        </w:rPr>
        <w:t>第七条 单户按期搬迁奖励</w:t>
      </w:r>
    </w:p>
    <w:p>
      <w:pPr>
        <w:spacing w:line="580" w:lineRule="exact"/>
        <w:ind w:firstLine="680"/>
        <w:rPr>
          <w:rFonts w:hint="eastAsia" w:ascii="方正仿宋_GBK" w:hAnsi="Calibri" w:eastAsia="方正仿宋_GBK" w:cs="Times New Roman"/>
          <w:kern w:val="0"/>
          <w:sz w:val="32"/>
        </w:rPr>
      </w:pPr>
      <w:r>
        <w:rPr>
          <w:rFonts w:hint="eastAsia" w:ascii="方正仿宋_GBK" w:hAnsi="Calibri" w:eastAsia="方正仿宋_GBK" w:cs="Times New Roman"/>
          <w:kern w:val="0"/>
          <w:sz w:val="32"/>
        </w:rPr>
        <w:t>被征收人在规定的签约期限内签约并在协议约定的期限内完成搬迁，或者在规定的签约期限内主动搬迁的，给予</w:t>
      </w:r>
      <w:r>
        <w:rPr>
          <w:rFonts w:hint="default" w:ascii="Times New Roman" w:hAnsi="Times New Roman" w:eastAsia="方正仿宋_GBK" w:cs="Times New Roman"/>
          <w:kern w:val="0"/>
          <w:sz w:val="32"/>
        </w:rPr>
        <w:t>30000</w:t>
      </w:r>
      <w:r>
        <w:rPr>
          <w:rFonts w:hint="eastAsia" w:ascii="方正仿宋_GBK" w:hAnsi="Calibri" w:eastAsia="方正仿宋_GBK" w:cs="Times New Roman"/>
          <w:kern w:val="0"/>
          <w:sz w:val="32"/>
        </w:rPr>
        <w:t>元/户的单户按期搬迁奖励。</w:t>
      </w:r>
    </w:p>
    <w:p>
      <w:pPr>
        <w:spacing w:line="580" w:lineRule="exact"/>
        <w:ind w:firstLine="680"/>
        <w:rPr>
          <w:rFonts w:hint="eastAsia" w:ascii="方正黑体_GBK" w:hAnsi="Calibri" w:eastAsia="方正黑体_GBK" w:cs="Times New Roman"/>
          <w:kern w:val="0"/>
          <w:sz w:val="32"/>
        </w:rPr>
      </w:pPr>
      <w:r>
        <w:rPr>
          <w:rFonts w:hint="eastAsia" w:ascii="方正黑体_GBK" w:hAnsi="Calibri" w:eastAsia="方正黑体_GBK" w:cs="Times New Roman"/>
          <w:kern w:val="0"/>
          <w:sz w:val="32"/>
        </w:rPr>
        <w:t>第八条 搬迁补助</w:t>
      </w:r>
    </w:p>
    <w:p>
      <w:pPr>
        <w:spacing w:line="580" w:lineRule="exact"/>
        <w:ind w:firstLine="680"/>
        <w:rPr>
          <w:rFonts w:hint="eastAsia" w:ascii="方正仿宋_GBK" w:hAnsi="Calibri" w:eastAsia="方正仿宋_GBK" w:cs="Times New Roman"/>
          <w:kern w:val="0"/>
          <w:sz w:val="32"/>
        </w:rPr>
      </w:pPr>
      <w:r>
        <w:rPr>
          <w:rFonts w:hint="eastAsia" w:ascii="方正仿宋_GBK" w:hAnsi="Calibri" w:eastAsia="方正仿宋_GBK" w:cs="Times New Roman"/>
          <w:kern w:val="0"/>
          <w:sz w:val="32"/>
        </w:rPr>
        <w:t>（一）根据被征收房屋用途计算给予搬迁补助，具体标准为：</w:t>
      </w:r>
    </w:p>
    <w:p>
      <w:pPr>
        <w:spacing w:line="580" w:lineRule="exact"/>
        <w:ind w:firstLine="680"/>
        <w:rPr>
          <w:rFonts w:hint="eastAsia" w:ascii="方正仿宋_GBK" w:hAnsi="Calibri" w:eastAsia="方正仿宋_GBK" w:cs="Times New Roman"/>
          <w:kern w:val="0"/>
          <w:sz w:val="32"/>
        </w:rPr>
      </w:pPr>
      <w:r>
        <w:rPr>
          <w:rFonts w:hint="default" w:ascii="Times New Roman" w:hAnsi="Times New Roman" w:eastAsia="方正仿宋_GBK" w:cs="Times New Roman"/>
          <w:kern w:val="0"/>
          <w:sz w:val="32"/>
        </w:rPr>
        <w:t>1</w:t>
      </w:r>
      <w:r>
        <w:rPr>
          <w:rFonts w:hint="eastAsia" w:ascii="方正仿宋_GBK" w:hAnsi="Calibri" w:eastAsia="方正仿宋_GBK" w:cs="Times New Roman"/>
          <w:kern w:val="0"/>
          <w:sz w:val="32"/>
        </w:rPr>
        <w:t>.住宅</w:t>
      </w:r>
      <w:r>
        <w:rPr>
          <w:rFonts w:hint="default" w:ascii="Times New Roman" w:hAnsi="Times New Roman" w:eastAsia="方正仿宋_GBK" w:cs="Times New Roman"/>
          <w:kern w:val="0"/>
          <w:sz w:val="32"/>
        </w:rPr>
        <w:t>2000</w:t>
      </w:r>
      <w:r>
        <w:rPr>
          <w:rFonts w:hint="eastAsia" w:ascii="方正仿宋_GBK" w:hAnsi="Calibri" w:eastAsia="方正仿宋_GBK" w:cs="Times New Roman"/>
          <w:kern w:val="0"/>
          <w:sz w:val="32"/>
        </w:rPr>
        <w:t>元/户·次；</w:t>
      </w:r>
    </w:p>
    <w:p>
      <w:pPr>
        <w:spacing w:line="580" w:lineRule="exact"/>
        <w:ind w:firstLine="680"/>
        <w:rPr>
          <w:rFonts w:hint="eastAsia" w:ascii="方正仿宋_GBK" w:hAnsi="Calibri" w:eastAsia="方正仿宋_GBK" w:cs="Times New Roman"/>
          <w:kern w:val="0"/>
          <w:sz w:val="32"/>
        </w:rPr>
      </w:pPr>
      <w:r>
        <w:rPr>
          <w:rFonts w:hint="default" w:ascii="Times New Roman" w:hAnsi="Times New Roman" w:eastAsia="方正仿宋_GBK" w:cs="Times New Roman"/>
          <w:kern w:val="0"/>
          <w:sz w:val="32"/>
        </w:rPr>
        <w:t>2</w:t>
      </w:r>
      <w:r>
        <w:rPr>
          <w:rFonts w:hint="eastAsia" w:ascii="方正仿宋_GBK" w:hAnsi="Calibri" w:eastAsia="方正仿宋_GBK" w:cs="Times New Roman"/>
          <w:kern w:val="0"/>
          <w:sz w:val="32"/>
        </w:rPr>
        <w:t>.非住宅：商业、办公、业务用房</w:t>
      </w:r>
      <w:r>
        <w:rPr>
          <w:rFonts w:hint="default" w:ascii="Times New Roman" w:hAnsi="Times New Roman" w:eastAsia="方正仿宋_GBK" w:cs="Times New Roman"/>
          <w:kern w:val="0"/>
          <w:sz w:val="32"/>
        </w:rPr>
        <w:t>30</w:t>
      </w:r>
      <w:r>
        <w:rPr>
          <w:rFonts w:hint="eastAsia" w:ascii="方正仿宋_GBK" w:hAnsi="Calibri" w:eastAsia="方正仿宋_GBK" w:cs="Times New Roman"/>
          <w:kern w:val="0"/>
          <w:sz w:val="32"/>
        </w:rPr>
        <w:t>元／平方米·次；生产用房</w:t>
      </w:r>
      <w:r>
        <w:rPr>
          <w:rFonts w:hint="default" w:ascii="Times New Roman" w:hAnsi="Times New Roman" w:eastAsia="方正仿宋_GBK" w:cs="Times New Roman"/>
          <w:kern w:val="0"/>
          <w:sz w:val="32"/>
        </w:rPr>
        <w:t>40</w:t>
      </w:r>
      <w:r>
        <w:rPr>
          <w:rFonts w:hint="eastAsia" w:ascii="方正仿宋_GBK" w:hAnsi="Calibri" w:eastAsia="方正仿宋_GBK" w:cs="Times New Roman"/>
          <w:kern w:val="0"/>
          <w:sz w:val="32"/>
        </w:rPr>
        <w:t>元／平方米·次。</w:t>
      </w:r>
    </w:p>
    <w:p>
      <w:pPr>
        <w:spacing w:line="580" w:lineRule="exact"/>
        <w:ind w:firstLine="680"/>
        <w:rPr>
          <w:rFonts w:hint="eastAsia" w:ascii="方正仿宋_GBK" w:hAnsi="Calibri" w:eastAsia="方正仿宋_GBK" w:cs="Times New Roman"/>
          <w:kern w:val="0"/>
          <w:sz w:val="32"/>
        </w:rPr>
      </w:pPr>
      <w:r>
        <w:rPr>
          <w:rFonts w:hint="eastAsia" w:ascii="方正仿宋_GBK" w:hAnsi="Calibri" w:eastAsia="方正仿宋_GBK" w:cs="Times New Roman"/>
          <w:kern w:val="0"/>
          <w:sz w:val="32"/>
        </w:rPr>
        <w:t>同一产权房屋中既有住宅又有非住宅的，分别计算搬迁补助。</w:t>
      </w:r>
    </w:p>
    <w:p>
      <w:pPr>
        <w:spacing w:line="580" w:lineRule="exact"/>
        <w:ind w:firstLine="680"/>
        <w:rPr>
          <w:rFonts w:hint="eastAsia" w:ascii="方正仿宋_GBK" w:hAnsi="Calibri" w:eastAsia="方正仿宋_GBK" w:cs="Times New Roman"/>
          <w:kern w:val="0"/>
          <w:sz w:val="32"/>
        </w:rPr>
      </w:pPr>
      <w:r>
        <w:rPr>
          <w:rFonts w:hint="eastAsia" w:ascii="方正仿宋_GBK" w:hAnsi="Calibri" w:eastAsia="方正仿宋_GBK" w:cs="Times New Roman"/>
          <w:kern w:val="0"/>
          <w:sz w:val="32"/>
        </w:rPr>
        <w:t>（二）被征收人选择货币补偿方式的，享受</w:t>
      </w:r>
      <w:r>
        <w:rPr>
          <w:rFonts w:hint="default" w:ascii="Times New Roman" w:hAnsi="Times New Roman" w:eastAsia="方正仿宋_GBK" w:cs="Times New Roman"/>
          <w:kern w:val="0"/>
          <w:sz w:val="32"/>
        </w:rPr>
        <w:t>1</w:t>
      </w:r>
      <w:r>
        <w:rPr>
          <w:rFonts w:hint="eastAsia" w:ascii="方正仿宋_GBK" w:hAnsi="Calibri" w:eastAsia="方正仿宋_GBK" w:cs="Times New Roman"/>
          <w:kern w:val="0"/>
          <w:sz w:val="32"/>
        </w:rPr>
        <w:t>次搬迁补助；被征收人选择产权调换补偿方式的，享受</w:t>
      </w:r>
      <w:r>
        <w:rPr>
          <w:rFonts w:hint="default" w:ascii="Times New Roman" w:hAnsi="Times New Roman" w:eastAsia="方正仿宋_GBK" w:cs="Times New Roman"/>
          <w:kern w:val="0"/>
          <w:sz w:val="32"/>
        </w:rPr>
        <w:t>2</w:t>
      </w:r>
      <w:r>
        <w:rPr>
          <w:rFonts w:hint="eastAsia" w:ascii="方正仿宋_GBK" w:hAnsi="Calibri" w:eastAsia="方正仿宋_GBK" w:cs="Times New Roman"/>
          <w:kern w:val="0"/>
          <w:sz w:val="32"/>
        </w:rPr>
        <w:t>次搬迁补助。</w:t>
      </w:r>
    </w:p>
    <w:p>
      <w:pPr>
        <w:spacing w:line="580" w:lineRule="exact"/>
        <w:ind w:firstLine="680"/>
        <w:rPr>
          <w:rFonts w:hint="eastAsia" w:ascii="方正黑体_GBK" w:hAnsi="Calibri" w:eastAsia="方正黑体_GBK" w:cs="Times New Roman"/>
          <w:kern w:val="0"/>
          <w:sz w:val="32"/>
        </w:rPr>
      </w:pPr>
      <w:r>
        <w:rPr>
          <w:rFonts w:hint="eastAsia" w:ascii="方正黑体_GBK" w:hAnsi="Calibri" w:eastAsia="方正黑体_GBK" w:cs="Times New Roman"/>
          <w:kern w:val="0"/>
          <w:sz w:val="32"/>
        </w:rPr>
        <w:t xml:space="preserve">第九条 临时安置补助 </w:t>
      </w:r>
    </w:p>
    <w:p>
      <w:pPr>
        <w:spacing w:line="580" w:lineRule="exact"/>
        <w:ind w:firstLine="680"/>
        <w:rPr>
          <w:rFonts w:hint="eastAsia" w:ascii="方正仿宋_GBK" w:hAnsi="Calibri" w:eastAsia="方正仿宋_GBK" w:cs="Times New Roman"/>
          <w:kern w:val="0"/>
          <w:sz w:val="32"/>
        </w:rPr>
      </w:pPr>
      <w:r>
        <w:rPr>
          <w:rFonts w:hint="eastAsia" w:ascii="方正仿宋_GBK" w:hAnsi="Calibri" w:eastAsia="方正仿宋_GBK" w:cs="Times New Roman"/>
          <w:kern w:val="0"/>
          <w:sz w:val="32"/>
        </w:rPr>
        <w:t>（一）被征收房屋为住宅，被征收人选择产权调换补偿方式，且征收人未提供临时周转房屋的，按户给予临时安置补助，标准为：被征收房屋面积</w:t>
      </w:r>
      <w:r>
        <w:rPr>
          <w:rFonts w:hint="default" w:ascii="Times New Roman" w:hAnsi="Times New Roman" w:eastAsia="方正仿宋_GBK" w:cs="Times New Roman"/>
          <w:kern w:val="0"/>
          <w:sz w:val="32"/>
        </w:rPr>
        <w:t>30</w:t>
      </w:r>
      <w:r>
        <w:rPr>
          <w:rFonts w:hint="eastAsia" w:ascii="方正仿宋_GBK" w:hAnsi="Calibri" w:eastAsia="方正仿宋_GBK" w:cs="Times New Roman"/>
          <w:kern w:val="0"/>
          <w:sz w:val="32"/>
        </w:rPr>
        <w:t>平方米以下的，按照</w:t>
      </w:r>
      <w:r>
        <w:rPr>
          <w:rFonts w:hint="default" w:ascii="Times New Roman" w:hAnsi="Times New Roman" w:eastAsia="方正仿宋_GBK" w:cs="Times New Roman"/>
          <w:kern w:val="0"/>
          <w:sz w:val="32"/>
        </w:rPr>
        <w:t>30</w:t>
      </w:r>
      <w:r>
        <w:rPr>
          <w:rFonts w:hint="eastAsia" w:ascii="方正仿宋_GBK" w:hAnsi="Calibri" w:eastAsia="方正仿宋_GBK" w:cs="Times New Roman"/>
          <w:kern w:val="0"/>
          <w:sz w:val="32"/>
        </w:rPr>
        <w:t>元/平方米·月；被征收房屋面积</w:t>
      </w:r>
      <w:r>
        <w:rPr>
          <w:rFonts w:hint="default" w:ascii="Times New Roman" w:hAnsi="Times New Roman" w:eastAsia="方正仿宋_GBK" w:cs="Times New Roman"/>
          <w:kern w:val="0"/>
          <w:sz w:val="32"/>
        </w:rPr>
        <w:t>30</w:t>
      </w:r>
      <w:r>
        <w:rPr>
          <w:rFonts w:hint="eastAsia" w:ascii="方正仿宋_GBK" w:hAnsi="Calibri" w:eastAsia="方正仿宋_GBK" w:cs="Times New Roman"/>
          <w:kern w:val="0"/>
          <w:sz w:val="32"/>
        </w:rPr>
        <w:t>平方米以上</w:t>
      </w:r>
      <w:r>
        <w:rPr>
          <w:rFonts w:hint="default" w:ascii="Times New Roman" w:hAnsi="Times New Roman" w:eastAsia="方正仿宋_GBK" w:cs="Times New Roman"/>
          <w:kern w:val="0"/>
          <w:sz w:val="32"/>
        </w:rPr>
        <w:t>45</w:t>
      </w:r>
      <w:r>
        <w:rPr>
          <w:rFonts w:hint="eastAsia" w:ascii="方正仿宋_GBK" w:hAnsi="Calibri" w:eastAsia="方正仿宋_GBK" w:cs="Times New Roman"/>
          <w:kern w:val="0"/>
          <w:sz w:val="32"/>
        </w:rPr>
        <w:t>平方米以下的，按</w:t>
      </w:r>
      <w:r>
        <w:rPr>
          <w:rFonts w:hint="default" w:ascii="Times New Roman" w:hAnsi="Times New Roman" w:eastAsia="方正仿宋_GBK" w:cs="Times New Roman"/>
          <w:kern w:val="0"/>
          <w:sz w:val="32"/>
        </w:rPr>
        <w:t>900</w:t>
      </w:r>
      <w:r>
        <w:rPr>
          <w:rFonts w:hint="eastAsia" w:ascii="方正仿宋_GBK" w:hAnsi="Calibri" w:eastAsia="方正仿宋_GBK" w:cs="Times New Roman"/>
          <w:kern w:val="0"/>
          <w:sz w:val="32"/>
        </w:rPr>
        <w:t>元/月标准发放；被征收房屋面积超过</w:t>
      </w:r>
      <w:r>
        <w:rPr>
          <w:rFonts w:hint="default" w:ascii="Times New Roman" w:hAnsi="Times New Roman" w:eastAsia="方正仿宋_GBK" w:cs="Times New Roman"/>
          <w:kern w:val="0"/>
          <w:sz w:val="32"/>
        </w:rPr>
        <w:t>45</w:t>
      </w:r>
      <w:r>
        <w:rPr>
          <w:rFonts w:hint="eastAsia" w:ascii="方正仿宋_GBK" w:hAnsi="Calibri" w:eastAsia="方正仿宋_GBK" w:cs="Times New Roman"/>
          <w:kern w:val="0"/>
          <w:sz w:val="32"/>
        </w:rPr>
        <w:t>平方米的，超出部分按照每户</w:t>
      </w:r>
      <w:r>
        <w:rPr>
          <w:rFonts w:hint="default" w:ascii="Times New Roman" w:hAnsi="Times New Roman" w:eastAsia="方正仿宋_GBK" w:cs="Times New Roman"/>
          <w:kern w:val="0"/>
          <w:sz w:val="32"/>
        </w:rPr>
        <w:t>11</w:t>
      </w:r>
      <w:r>
        <w:rPr>
          <w:rFonts w:hint="eastAsia" w:ascii="方正仿宋_GBK" w:hAnsi="Calibri" w:eastAsia="方正仿宋_GBK" w:cs="Times New Roman"/>
          <w:kern w:val="0"/>
          <w:sz w:val="32"/>
        </w:rPr>
        <w:t>-</w:t>
      </w:r>
      <w:r>
        <w:rPr>
          <w:rFonts w:hint="default" w:ascii="Times New Roman" w:hAnsi="Times New Roman" w:eastAsia="方正仿宋_GBK" w:cs="Times New Roman"/>
          <w:kern w:val="0"/>
          <w:sz w:val="32"/>
        </w:rPr>
        <w:t>15</w:t>
      </w:r>
      <w:r>
        <w:rPr>
          <w:rFonts w:hint="eastAsia" w:ascii="方正仿宋_GBK" w:hAnsi="Calibri" w:eastAsia="方正仿宋_GBK" w:cs="Times New Roman"/>
          <w:kern w:val="0"/>
          <w:sz w:val="32"/>
        </w:rPr>
        <w:t>元/平方米·月的标准发放（超出部分的具体标准按征收区域而定，在征收补偿方案中体现）。产权调换房屋为现房的，发放</w:t>
      </w:r>
      <w:r>
        <w:rPr>
          <w:rFonts w:hint="default" w:ascii="Times New Roman" w:hAnsi="Times New Roman" w:eastAsia="方正仿宋_GBK" w:cs="Times New Roman"/>
          <w:kern w:val="0"/>
          <w:sz w:val="32"/>
        </w:rPr>
        <w:t>3</w:t>
      </w:r>
      <w:r>
        <w:rPr>
          <w:rFonts w:hint="eastAsia" w:ascii="方正仿宋_GBK" w:hAnsi="Calibri" w:eastAsia="方正仿宋_GBK" w:cs="Times New Roman"/>
          <w:kern w:val="0"/>
          <w:sz w:val="32"/>
        </w:rPr>
        <w:t>个月临时安置补助。产权调换房屋为期房的，临时安置补助自征收协议签订并交旧房之月起计算，至通知接房之次月起</w:t>
      </w:r>
      <w:r>
        <w:rPr>
          <w:rFonts w:hint="default" w:ascii="Times New Roman" w:hAnsi="Times New Roman" w:eastAsia="方正仿宋_GBK" w:cs="Times New Roman"/>
          <w:kern w:val="0"/>
          <w:sz w:val="32"/>
        </w:rPr>
        <w:t>3</w:t>
      </w:r>
      <w:r>
        <w:rPr>
          <w:rFonts w:hint="eastAsia" w:ascii="方正仿宋_GBK" w:hAnsi="Calibri" w:eastAsia="方正仿宋_GBK" w:cs="Times New Roman"/>
          <w:kern w:val="0"/>
          <w:sz w:val="32"/>
        </w:rPr>
        <w:t>个月止。</w:t>
      </w:r>
    </w:p>
    <w:p>
      <w:pPr>
        <w:spacing w:line="580" w:lineRule="exact"/>
        <w:ind w:firstLine="680"/>
        <w:rPr>
          <w:rFonts w:hint="eastAsia" w:ascii="方正仿宋_GBK" w:hAnsi="Calibri" w:eastAsia="方正仿宋_GBK" w:cs="Times New Roman"/>
          <w:kern w:val="0"/>
          <w:sz w:val="32"/>
        </w:rPr>
      </w:pPr>
      <w:r>
        <w:rPr>
          <w:rFonts w:hint="eastAsia" w:ascii="方正仿宋_GBK" w:hAnsi="Calibri" w:eastAsia="方正仿宋_GBK" w:cs="Times New Roman"/>
          <w:kern w:val="0"/>
          <w:sz w:val="32"/>
        </w:rPr>
        <w:t>（二）经认定参照有证房屋处置的未经登记建筑的临时安置补助参照以上标准执行；被征收人既有有证建筑又有认定为参照有证房屋处置的未经登记建筑，合并计算面积后，按一户计算临时安置补助。</w:t>
      </w:r>
    </w:p>
    <w:p>
      <w:pPr>
        <w:spacing w:line="580" w:lineRule="exact"/>
        <w:ind w:firstLine="680"/>
        <w:rPr>
          <w:rFonts w:hint="eastAsia" w:ascii="方正仿宋_GBK" w:hAnsi="方正黑体_GBK" w:eastAsia="方正仿宋_GBK" w:cs="方正黑体_GBK"/>
          <w:kern w:val="0"/>
          <w:sz w:val="32"/>
        </w:rPr>
      </w:pPr>
      <w:r>
        <w:rPr>
          <w:rFonts w:hint="eastAsia" w:ascii="方正黑体_GBK" w:hAnsi="Calibri" w:eastAsia="方正黑体_GBK" w:cs="Times New Roman"/>
          <w:kern w:val="0"/>
          <w:sz w:val="32"/>
        </w:rPr>
        <w:t>第十条</w:t>
      </w:r>
      <w:r>
        <w:rPr>
          <w:rFonts w:hint="eastAsia" w:ascii="方正仿宋_GBK" w:hAnsi="方正黑体_GBK" w:eastAsia="方正仿宋_GBK" w:cs="方正黑体_GBK"/>
          <w:kern w:val="0"/>
          <w:sz w:val="32"/>
        </w:rPr>
        <w:t xml:space="preserve"> 除有特别说明外，本标准中的户系指被征收房屋的产权户和经认定公示的公房承租户；以上和以下均包含本数；被征收房屋面积系由房屋产权证载建筑面积和按规定享受最低住房保障政策补足部分面积组成；被征收房屋评估价值系指被征收房屋产权证载建筑面积和按规定享受最低住房保障政策补足部分面积所对应的评估价值。</w:t>
      </w:r>
    </w:p>
    <w:p>
      <w:pPr>
        <w:keepNext w:val="0"/>
        <w:keepLines w:val="0"/>
        <w:pageBreakBefore w:val="0"/>
        <w:widowControl w:val="0"/>
        <w:kinsoku/>
        <w:wordWrap/>
        <w:overflowPunct/>
        <w:topLinePunct w:val="0"/>
        <w:autoSpaceDE/>
        <w:autoSpaceDN/>
        <w:bidi w:val="0"/>
        <w:adjustRightInd/>
        <w:snapToGrid/>
        <w:spacing w:line="580" w:lineRule="exact"/>
        <w:ind w:firstLine="640"/>
        <w:jc w:val="center"/>
        <w:textAlignment w:val="auto"/>
        <w:outlineLvl w:val="9"/>
        <w:rPr>
          <w:rFonts w:hint="eastAsia" w:ascii="方正仿宋_GBK" w:hAnsi="Calibri" w:eastAsia="方正仿宋_GBK" w:cs="Times New Roman"/>
          <w:kern w:val="0"/>
          <w:sz w:val="32"/>
          <w:szCs w:val="32"/>
          <w:lang w:val="en-US" w:eastAsia="zh-CN" w:bidi="ar-SA"/>
        </w:rPr>
      </w:pPr>
      <w:r>
        <w:rPr>
          <w:rFonts w:hint="eastAsia" w:ascii="方正黑体_GBK" w:hAnsi="Calibri" w:eastAsia="方正黑体_GBK" w:cs="Times New Roman"/>
          <w:kern w:val="0"/>
          <w:sz w:val="32"/>
          <w:szCs w:val="32"/>
          <w:lang w:val="en-US" w:eastAsia="zh-CN" w:bidi="ar-SA"/>
        </w:rPr>
        <w:t>第十一条</w:t>
      </w:r>
      <w:r>
        <w:rPr>
          <w:rFonts w:hint="eastAsia" w:ascii="方正仿宋_GBK" w:hAnsi="方正黑体_GBK" w:eastAsia="方正仿宋_GBK" w:cs="方正黑体_GBK"/>
          <w:kern w:val="0"/>
          <w:sz w:val="32"/>
          <w:szCs w:val="32"/>
          <w:lang w:val="en-US" w:eastAsia="zh-CN" w:bidi="ar-SA"/>
        </w:rPr>
        <w:t xml:space="preserve"> 本标准自印发之日起实施。</w:t>
      </w:r>
      <w:r>
        <w:rPr>
          <w:rFonts w:hint="eastAsia" w:ascii="方正仿宋_GBK" w:hAnsi="Calibri" w:eastAsia="方正仿宋_GBK" w:cs="Times New Roman"/>
          <w:kern w:val="0"/>
          <w:sz w:val="32"/>
          <w:szCs w:val="32"/>
          <w:lang w:val="en-US" w:eastAsia="zh-CN" w:bidi="ar-SA"/>
        </w:rPr>
        <w:t>本标准实施前已经发布房屋征收决定公告的项目，补偿、补助和奖励按已公布的补偿</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Calibri" w:hAnsi="Calibri" w:eastAsia="黑体" w:cs="Times New Roman"/>
          <w:kern w:val="2"/>
          <w:sz w:val="36"/>
          <w:szCs w:val="36"/>
          <w:lang w:val="en-US" w:eastAsia="zh-CN" w:bidi="ar-SA"/>
        </w:rPr>
      </w:pPr>
      <w:r>
        <w:rPr>
          <w:rFonts w:hint="eastAsia" w:ascii="方正仿宋_GBK" w:hAnsi="Calibri" w:eastAsia="方正仿宋_GBK" w:cs="Times New Roman"/>
          <w:kern w:val="0"/>
          <w:sz w:val="32"/>
          <w:szCs w:val="32"/>
          <w:lang w:val="en-US" w:eastAsia="zh-CN" w:bidi="ar-SA"/>
        </w:rPr>
        <w:t>方案执行。</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6" w:charSpace="0"/>
        </w:sectPr>
      </w:pPr>
    </w:p>
    <w:p>
      <w:pPr>
        <w:spacing w:line="600" w:lineRule="exact"/>
        <w:jc w:val="center"/>
        <w:rPr>
          <w:rFonts w:eastAsia="方正小标宋_GBK"/>
          <w:color w:val="000000"/>
          <w:sz w:val="44"/>
          <w:szCs w:val="44"/>
        </w:rPr>
      </w:pPr>
      <w:r>
        <w:rPr>
          <w:rFonts w:hint="eastAsia" w:ascii="方正小标宋_GBK" w:eastAsia="方正小标宋_GBK"/>
          <w:color w:val="000000"/>
          <w:sz w:val="44"/>
          <w:szCs w:val="44"/>
        </w:rPr>
        <w:t>重庆市巴南区国有土地上房屋征收补偿及奖励补助标准（修订）</w:t>
      </w:r>
    </w:p>
    <w:tbl>
      <w:tblPr>
        <w:tblStyle w:val="10"/>
        <w:tblW w:w="146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25"/>
        <w:gridCol w:w="1027"/>
        <w:gridCol w:w="33"/>
        <w:gridCol w:w="475"/>
        <w:gridCol w:w="875"/>
        <w:gridCol w:w="2773"/>
        <w:gridCol w:w="3689"/>
        <w:gridCol w:w="560"/>
        <w:gridCol w:w="4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blHeader/>
          <w:jc w:val="center"/>
        </w:trPr>
        <w:tc>
          <w:tcPr>
            <w:tcW w:w="1134" w:type="dxa"/>
            <w:gridSpan w:val="2"/>
            <w:vAlign w:val="center"/>
          </w:tcPr>
          <w:p>
            <w:pPr>
              <w:spacing w:line="300" w:lineRule="exact"/>
              <w:jc w:val="center"/>
              <w:rPr>
                <w:rFonts w:ascii="宋体" w:hAnsi="宋体" w:eastAsia="宋体"/>
                <w:b/>
                <w:bCs/>
                <w:color w:val="000000"/>
                <w:kern w:val="0"/>
                <w:sz w:val="20"/>
                <w:szCs w:val="20"/>
              </w:rPr>
            </w:pPr>
            <w:r>
              <w:rPr>
                <w:rFonts w:hint="eastAsia" w:ascii="宋体" w:hAnsi="宋体" w:eastAsia="宋体"/>
                <w:b/>
                <w:bCs/>
                <w:color w:val="000000"/>
                <w:kern w:val="0"/>
                <w:sz w:val="20"/>
                <w:szCs w:val="20"/>
              </w:rPr>
              <w:t>序号</w:t>
            </w:r>
          </w:p>
        </w:tc>
        <w:tc>
          <w:tcPr>
            <w:tcW w:w="2410" w:type="dxa"/>
            <w:gridSpan w:val="4"/>
            <w:vAlign w:val="center"/>
          </w:tcPr>
          <w:p>
            <w:pPr>
              <w:spacing w:line="300" w:lineRule="exact"/>
              <w:jc w:val="center"/>
              <w:rPr>
                <w:rFonts w:ascii="宋体" w:hAnsi="宋体" w:eastAsia="宋体"/>
                <w:b/>
                <w:bCs/>
                <w:color w:val="000000"/>
                <w:kern w:val="0"/>
                <w:sz w:val="20"/>
                <w:szCs w:val="20"/>
              </w:rPr>
            </w:pPr>
            <w:r>
              <w:rPr>
                <w:rFonts w:hint="eastAsia" w:ascii="宋体" w:hAnsi="宋体" w:eastAsia="宋体"/>
                <w:b/>
                <w:bCs/>
                <w:color w:val="000000"/>
                <w:kern w:val="0"/>
                <w:sz w:val="20"/>
                <w:szCs w:val="20"/>
              </w:rPr>
              <w:t>科目</w:t>
            </w:r>
          </w:p>
        </w:tc>
        <w:tc>
          <w:tcPr>
            <w:tcW w:w="2773" w:type="dxa"/>
            <w:vAlign w:val="center"/>
          </w:tcPr>
          <w:p>
            <w:pPr>
              <w:spacing w:line="300" w:lineRule="exact"/>
              <w:jc w:val="center"/>
              <w:rPr>
                <w:rFonts w:ascii="宋体" w:hAnsi="宋体" w:eastAsia="宋体"/>
                <w:b/>
                <w:bCs/>
                <w:color w:val="000000"/>
                <w:kern w:val="0"/>
                <w:sz w:val="20"/>
                <w:szCs w:val="20"/>
              </w:rPr>
            </w:pPr>
            <w:r>
              <w:rPr>
                <w:rFonts w:hint="eastAsia" w:ascii="宋体" w:hAnsi="宋体" w:eastAsia="宋体"/>
                <w:b/>
                <w:bCs/>
                <w:color w:val="000000"/>
                <w:kern w:val="0"/>
                <w:sz w:val="20"/>
                <w:szCs w:val="20"/>
              </w:rPr>
              <w:t>费额标准</w:t>
            </w:r>
          </w:p>
        </w:tc>
        <w:tc>
          <w:tcPr>
            <w:tcW w:w="8292" w:type="dxa"/>
            <w:gridSpan w:val="3"/>
            <w:vAlign w:val="center"/>
          </w:tcPr>
          <w:p>
            <w:pPr>
              <w:spacing w:line="300" w:lineRule="exact"/>
              <w:jc w:val="center"/>
              <w:rPr>
                <w:rFonts w:ascii="宋体" w:hAnsi="宋体" w:eastAsia="宋体"/>
                <w:b/>
                <w:bCs/>
                <w:color w:val="000000"/>
                <w:kern w:val="0"/>
                <w:sz w:val="20"/>
                <w:szCs w:val="20"/>
              </w:rPr>
            </w:pPr>
            <w:r>
              <w:rPr>
                <w:rFonts w:hint="eastAsia" w:ascii="宋体" w:hAnsi="宋体" w:eastAsia="宋体"/>
                <w:b/>
                <w:bCs/>
                <w:color w:val="000000"/>
                <w:kern w:val="0"/>
                <w:sz w:val="20"/>
                <w:szCs w:val="20"/>
              </w:rPr>
              <w:t>说明及要求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1" w:hRule="atLeast"/>
          <w:jc w:val="center"/>
        </w:trPr>
        <w:tc>
          <w:tcPr>
            <w:tcW w:w="709" w:type="dxa"/>
            <w:vMerge w:val="restart"/>
            <w:vAlign w:val="center"/>
          </w:tcPr>
          <w:p>
            <w:pPr>
              <w:spacing w:line="300" w:lineRule="exact"/>
              <w:jc w:val="center"/>
              <w:rPr>
                <w:rFonts w:ascii="宋体" w:hAnsi="宋体" w:eastAsia="宋体"/>
                <w:b/>
                <w:bCs/>
                <w:color w:val="000000"/>
                <w:kern w:val="0"/>
                <w:sz w:val="20"/>
                <w:szCs w:val="20"/>
              </w:rPr>
            </w:pPr>
          </w:p>
          <w:p>
            <w:pPr>
              <w:spacing w:line="300" w:lineRule="exact"/>
              <w:jc w:val="center"/>
              <w:rPr>
                <w:rFonts w:hint="eastAsia" w:ascii="宋体" w:hAnsi="宋体" w:eastAsia="宋体"/>
                <w:b/>
                <w:bCs/>
                <w:color w:val="000000"/>
                <w:kern w:val="0"/>
                <w:sz w:val="20"/>
                <w:szCs w:val="20"/>
              </w:rPr>
            </w:pPr>
          </w:p>
          <w:p>
            <w:pPr>
              <w:spacing w:line="300" w:lineRule="exact"/>
              <w:jc w:val="center"/>
              <w:rPr>
                <w:rFonts w:hint="eastAsia" w:ascii="宋体" w:hAnsi="宋体" w:eastAsia="宋体"/>
                <w:b/>
                <w:bCs/>
                <w:color w:val="000000"/>
                <w:kern w:val="0"/>
                <w:sz w:val="20"/>
                <w:szCs w:val="20"/>
              </w:rPr>
            </w:pPr>
          </w:p>
          <w:p>
            <w:pPr>
              <w:spacing w:line="300" w:lineRule="exact"/>
              <w:jc w:val="center"/>
              <w:rPr>
                <w:rFonts w:hint="eastAsia" w:ascii="宋体" w:hAnsi="宋体" w:eastAsia="宋体"/>
                <w:b/>
                <w:bCs/>
                <w:color w:val="000000"/>
                <w:kern w:val="0"/>
                <w:sz w:val="20"/>
                <w:szCs w:val="20"/>
              </w:rPr>
            </w:pPr>
          </w:p>
          <w:p>
            <w:pPr>
              <w:spacing w:line="300" w:lineRule="exact"/>
              <w:jc w:val="center"/>
              <w:rPr>
                <w:rFonts w:hint="eastAsia" w:ascii="宋体" w:hAnsi="宋体" w:eastAsia="宋体"/>
                <w:b/>
                <w:bCs/>
                <w:color w:val="000000"/>
                <w:kern w:val="0"/>
                <w:sz w:val="20"/>
                <w:szCs w:val="20"/>
              </w:rPr>
            </w:pPr>
          </w:p>
          <w:p>
            <w:pPr>
              <w:spacing w:line="300" w:lineRule="exact"/>
              <w:jc w:val="center"/>
              <w:rPr>
                <w:rFonts w:hint="eastAsia" w:ascii="宋体" w:hAnsi="宋体" w:eastAsia="宋体"/>
                <w:b/>
                <w:bCs/>
                <w:color w:val="000000"/>
                <w:kern w:val="0"/>
                <w:sz w:val="20"/>
                <w:szCs w:val="20"/>
              </w:rPr>
            </w:pPr>
          </w:p>
          <w:p>
            <w:pPr>
              <w:spacing w:line="300" w:lineRule="exact"/>
              <w:jc w:val="center"/>
              <w:rPr>
                <w:rFonts w:hint="eastAsia" w:ascii="宋体" w:hAnsi="宋体" w:eastAsia="宋体"/>
                <w:b/>
                <w:bCs/>
                <w:color w:val="000000"/>
                <w:kern w:val="0"/>
                <w:sz w:val="20"/>
                <w:szCs w:val="20"/>
              </w:rPr>
            </w:pPr>
            <w:r>
              <w:rPr>
                <w:rFonts w:hint="eastAsia" w:ascii="宋体" w:hAnsi="宋体" w:eastAsia="宋体"/>
                <w:b/>
                <w:bCs/>
                <w:color w:val="000000"/>
                <w:kern w:val="0"/>
                <w:sz w:val="20"/>
                <w:szCs w:val="20"/>
              </w:rPr>
              <w:t>损失补偿</w:t>
            </w:r>
          </w:p>
          <w:p>
            <w:pPr>
              <w:jc w:val="left"/>
              <w:rPr>
                <w:rFonts w:hint="eastAsia" w:ascii="宋体" w:hAnsi="宋体" w:eastAsia="宋体"/>
                <w:b/>
                <w:bCs/>
                <w:color w:val="000000"/>
                <w:kern w:val="0"/>
                <w:sz w:val="20"/>
                <w:szCs w:val="20"/>
              </w:rPr>
            </w:pPr>
          </w:p>
          <w:p>
            <w:pPr>
              <w:jc w:val="left"/>
              <w:rPr>
                <w:rFonts w:hint="eastAsia" w:ascii="宋体" w:hAnsi="宋体" w:eastAsia="宋体"/>
                <w:b/>
                <w:bCs/>
                <w:color w:val="000000"/>
                <w:kern w:val="0"/>
                <w:sz w:val="20"/>
                <w:szCs w:val="20"/>
              </w:rPr>
            </w:pPr>
          </w:p>
          <w:p>
            <w:pPr>
              <w:jc w:val="left"/>
              <w:rPr>
                <w:rFonts w:hint="eastAsia" w:ascii="宋体" w:hAnsi="宋体" w:eastAsia="宋体"/>
                <w:b/>
                <w:bCs/>
                <w:color w:val="000000"/>
                <w:kern w:val="0"/>
                <w:sz w:val="20"/>
                <w:szCs w:val="20"/>
              </w:rPr>
            </w:pPr>
          </w:p>
          <w:p>
            <w:pPr>
              <w:jc w:val="left"/>
              <w:rPr>
                <w:rFonts w:hint="eastAsia" w:ascii="宋体" w:hAnsi="宋体" w:eastAsia="宋体"/>
                <w:b/>
                <w:bCs/>
                <w:color w:val="000000"/>
                <w:kern w:val="0"/>
                <w:sz w:val="20"/>
                <w:szCs w:val="20"/>
              </w:rPr>
            </w:pPr>
          </w:p>
          <w:p>
            <w:pPr>
              <w:spacing w:line="560" w:lineRule="exact"/>
              <w:ind w:firstLine="422"/>
              <w:rPr>
                <w:rFonts w:ascii="宋体" w:hAnsi="宋体" w:eastAsia="宋体"/>
                <w:b/>
                <w:bCs/>
                <w:color w:val="000000"/>
                <w:kern w:val="0"/>
                <w:sz w:val="20"/>
                <w:szCs w:val="20"/>
              </w:rPr>
            </w:pPr>
          </w:p>
        </w:tc>
        <w:tc>
          <w:tcPr>
            <w:tcW w:w="425" w:type="dxa"/>
            <w:vMerge w:val="restart"/>
            <w:vAlign w:val="center"/>
          </w:tcPr>
          <w:p>
            <w:pPr>
              <w:spacing w:line="300" w:lineRule="exact"/>
              <w:jc w:val="center"/>
              <w:rPr>
                <w:rFonts w:ascii="宋体" w:hAnsi="宋体" w:eastAsia="宋体"/>
                <w:color w:val="000000"/>
                <w:kern w:val="0"/>
                <w:sz w:val="20"/>
                <w:szCs w:val="20"/>
              </w:rPr>
            </w:pPr>
            <w:r>
              <w:rPr>
                <w:rFonts w:hint="default" w:ascii="Times New Roman" w:hAnsi="Times New Roman" w:eastAsia="宋体" w:cs="Times New Roman"/>
                <w:color w:val="000000"/>
                <w:kern w:val="0"/>
                <w:sz w:val="20"/>
                <w:szCs w:val="20"/>
              </w:rPr>
              <w:t>1</w:t>
            </w:r>
          </w:p>
        </w:tc>
        <w:tc>
          <w:tcPr>
            <w:tcW w:w="1060" w:type="dxa"/>
            <w:gridSpan w:val="2"/>
            <w:vMerge w:val="restart"/>
            <w:vAlign w:val="center"/>
          </w:tcPr>
          <w:p>
            <w:pPr>
              <w:spacing w:line="300" w:lineRule="exact"/>
              <w:jc w:val="center"/>
              <w:rPr>
                <w:rFonts w:ascii="宋体" w:hAnsi="宋体" w:eastAsia="宋体"/>
                <w:color w:val="000000"/>
                <w:kern w:val="0"/>
                <w:sz w:val="20"/>
                <w:szCs w:val="20"/>
              </w:rPr>
            </w:pPr>
            <w:r>
              <w:rPr>
                <w:rFonts w:hint="eastAsia" w:ascii="宋体" w:hAnsi="宋体" w:eastAsia="宋体"/>
                <w:color w:val="000000"/>
                <w:kern w:val="0"/>
                <w:sz w:val="20"/>
                <w:szCs w:val="20"/>
              </w:rPr>
              <w:t>停产停业损失补偿</w:t>
            </w:r>
          </w:p>
        </w:tc>
        <w:tc>
          <w:tcPr>
            <w:tcW w:w="1350" w:type="dxa"/>
            <w:gridSpan w:val="2"/>
            <w:vMerge w:val="restart"/>
            <w:vAlign w:val="center"/>
          </w:tcPr>
          <w:p>
            <w:pPr>
              <w:spacing w:line="300" w:lineRule="exact"/>
              <w:jc w:val="center"/>
              <w:rPr>
                <w:rFonts w:ascii="宋体" w:hAnsi="宋体" w:eastAsia="宋体"/>
                <w:color w:val="000000"/>
                <w:kern w:val="0"/>
                <w:sz w:val="20"/>
                <w:szCs w:val="20"/>
              </w:rPr>
            </w:pPr>
            <w:r>
              <w:rPr>
                <w:rFonts w:hint="eastAsia" w:ascii="宋体" w:hAnsi="宋体" w:eastAsia="宋体"/>
                <w:color w:val="000000"/>
                <w:kern w:val="0"/>
                <w:sz w:val="20"/>
                <w:szCs w:val="20"/>
              </w:rPr>
              <w:t>非住宅</w:t>
            </w:r>
          </w:p>
        </w:tc>
        <w:tc>
          <w:tcPr>
            <w:tcW w:w="2773" w:type="dxa"/>
            <w:vAlign w:val="center"/>
          </w:tcPr>
          <w:p>
            <w:pPr>
              <w:spacing w:line="300" w:lineRule="exact"/>
              <w:jc w:val="center"/>
              <w:rPr>
                <w:rFonts w:ascii="宋体" w:hAnsi="宋体" w:eastAsia="宋体"/>
                <w:color w:val="000000"/>
                <w:kern w:val="0"/>
                <w:sz w:val="20"/>
                <w:szCs w:val="20"/>
                <w:highlight w:val="yellow"/>
              </w:rPr>
            </w:pPr>
            <w:r>
              <w:rPr>
                <w:rFonts w:hint="eastAsia" w:ascii="宋体" w:hAnsi="宋体" w:eastAsia="宋体"/>
                <w:color w:val="000000"/>
                <w:kern w:val="0"/>
                <w:sz w:val="20"/>
                <w:szCs w:val="20"/>
              </w:rPr>
              <w:t>房屋评估价值的</w:t>
            </w:r>
            <w:r>
              <w:rPr>
                <w:rFonts w:hint="default" w:ascii="Times New Roman" w:hAnsi="Times New Roman" w:eastAsia="宋体" w:cs="Times New Roman"/>
                <w:color w:val="000000"/>
                <w:kern w:val="0"/>
                <w:sz w:val="20"/>
                <w:szCs w:val="20"/>
              </w:rPr>
              <w:t>6</w:t>
            </w:r>
            <w:r>
              <w:rPr>
                <w:rFonts w:hint="eastAsia" w:ascii="宋体" w:hAnsi="宋体" w:eastAsia="宋体"/>
                <w:color w:val="000000"/>
                <w:kern w:val="0"/>
                <w:sz w:val="20"/>
                <w:szCs w:val="20"/>
              </w:rPr>
              <w:t>%</w:t>
            </w:r>
          </w:p>
        </w:tc>
        <w:tc>
          <w:tcPr>
            <w:tcW w:w="8292" w:type="dxa"/>
            <w:gridSpan w:val="3"/>
            <w:vMerge w:val="restart"/>
            <w:vAlign w:val="center"/>
          </w:tcPr>
          <w:p>
            <w:pPr>
              <w:spacing w:line="300" w:lineRule="exact"/>
              <w:ind w:firstLine="420"/>
              <w:rPr>
                <w:rFonts w:ascii="宋体" w:hAnsi="宋体" w:eastAsia="宋体"/>
                <w:color w:val="000000"/>
                <w:kern w:val="0"/>
                <w:sz w:val="20"/>
                <w:szCs w:val="20"/>
              </w:rPr>
            </w:pPr>
            <w:r>
              <w:rPr>
                <w:rFonts w:hint="default" w:ascii="Times New Roman" w:hAnsi="Times New Roman" w:eastAsia="宋体" w:cs="Times New Roman"/>
                <w:color w:val="000000"/>
                <w:kern w:val="0"/>
                <w:sz w:val="20"/>
                <w:szCs w:val="20"/>
              </w:rPr>
              <w:t>1</w:t>
            </w:r>
            <w:r>
              <w:rPr>
                <w:rFonts w:hint="eastAsia" w:ascii="宋体" w:hAnsi="宋体" w:eastAsia="宋体"/>
                <w:color w:val="000000"/>
                <w:kern w:val="0"/>
                <w:sz w:val="20"/>
                <w:szCs w:val="20"/>
              </w:rPr>
              <w:t>.被征收人选择货币补偿的，按照房屋评估价值的</w:t>
            </w:r>
            <w:r>
              <w:rPr>
                <w:rFonts w:hint="default" w:ascii="Times New Roman" w:hAnsi="Times New Roman" w:eastAsia="宋体" w:cs="Times New Roman"/>
                <w:color w:val="000000"/>
                <w:kern w:val="0"/>
                <w:sz w:val="20"/>
                <w:szCs w:val="20"/>
              </w:rPr>
              <w:t>6</w:t>
            </w:r>
            <w:r>
              <w:rPr>
                <w:rFonts w:hint="eastAsia" w:ascii="宋体" w:hAnsi="宋体" w:eastAsia="宋体"/>
                <w:color w:val="000000"/>
                <w:kern w:val="0"/>
                <w:sz w:val="20"/>
                <w:szCs w:val="20"/>
              </w:rPr>
              <w:t>%一次性支付停产停业损失补偿费；被征收人选择产权调换的，停产停业期间每月按照房屋评估价值的</w:t>
            </w:r>
            <w:r>
              <w:rPr>
                <w:rFonts w:hint="default" w:ascii="Times New Roman" w:hAnsi="Times New Roman" w:eastAsia="宋体" w:cs="Times New Roman"/>
                <w:color w:val="000000"/>
                <w:kern w:val="0"/>
                <w:sz w:val="20"/>
                <w:szCs w:val="20"/>
              </w:rPr>
              <w:t>5</w:t>
            </w:r>
            <w:r>
              <w:rPr>
                <w:rFonts w:hint="eastAsia" w:ascii="宋体" w:hAnsi="宋体" w:eastAsia="宋体"/>
                <w:color w:val="000000"/>
                <w:kern w:val="0"/>
                <w:sz w:val="20"/>
                <w:szCs w:val="20"/>
              </w:rPr>
              <w:t>‰支付停产停业损失补偿费，停产停业期限按照协议约定计算。已提供临时周转房的，不支付停产停业损失补偿费。区房屋征收部门未按协议约定日期交付产权调换房屋，导致过渡期限延长的，自逾期之月起每月按照房屋评估价值的</w:t>
            </w:r>
            <w:r>
              <w:rPr>
                <w:rFonts w:hint="default" w:ascii="Times New Roman" w:hAnsi="Times New Roman" w:eastAsia="宋体" w:cs="Times New Roman"/>
                <w:color w:val="000000"/>
                <w:kern w:val="0"/>
                <w:sz w:val="20"/>
                <w:szCs w:val="20"/>
              </w:rPr>
              <w:t>5</w:t>
            </w:r>
            <w:r>
              <w:rPr>
                <w:rFonts w:hint="eastAsia" w:ascii="宋体" w:hAnsi="宋体" w:eastAsia="宋体"/>
                <w:color w:val="000000"/>
                <w:kern w:val="0"/>
                <w:sz w:val="20"/>
                <w:szCs w:val="20"/>
              </w:rPr>
              <w:t>‰加付停产停业损失补偿费。</w:t>
            </w:r>
          </w:p>
          <w:p>
            <w:pPr>
              <w:spacing w:line="300" w:lineRule="exact"/>
              <w:ind w:firstLine="420"/>
              <w:rPr>
                <w:rFonts w:hint="eastAsia" w:ascii="宋体" w:hAnsi="宋体" w:eastAsia="宋体"/>
                <w:color w:val="000000"/>
                <w:kern w:val="0"/>
                <w:sz w:val="20"/>
                <w:szCs w:val="20"/>
              </w:rPr>
            </w:pPr>
            <w:r>
              <w:rPr>
                <w:rFonts w:hint="default" w:ascii="Times New Roman" w:hAnsi="Times New Roman" w:eastAsia="宋体" w:cs="Times New Roman"/>
                <w:color w:val="000000"/>
                <w:kern w:val="0"/>
                <w:sz w:val="20"/>
                <w:szCs w:val="20"/>
              </w:rPr>
              <w:t>2</w:t>
            </w:r>
            <w:r>
              <w:rPr>
                <w:rFonts w:hint="eastAsia" w:ascii="宋体" w:hAnsi="宋体" w:eastAsia="宋体"/>
                <w:color w:val="000000"/>
                <w:kern w:val="0"/>
                <w:sz w:val="20"/>
                <w:szCs w:val="20"/>
              </w:rPr>
              <w:t>.被征收房屋符合前款规定，且用于生产制造的，停产停业损失的补偿标准可以适当提高，提高的幅度不超过前款规定补偿标准的</w:t>
            </w:r>
            <w:r>
              <w:rPr>
                <w:rFonts w:hint="default" w:ascii="Times New Roman" w:hAnsi="Times New Roman" w:eastAsia="宋体" w:cs="Times New Roman"/>
                <w:color w:val="000000"/>
                <w:kern w:val="0"/>
                <w:sz w:val="20"/>
                <w:szCs w:val="20"/>
              </w:rPr>
              <w:t>50</w:t>
            </w:r>
            <w:r>
              <w:rPr>
                <w:rFonts w:hint="eastAsia" w:ascii="宋体" w:hAnsi="宋体" w:eastAsia="宋体"/>
                <w:color w:val="000000"/>
                <w:kern w:val="0"/>
                <w:sz w:val="20"/>
                <w:szCs w:val="20"/>
              </w:rPr>
              <w:t>%。</w:t>
            </w:r>
          </w:p>
          <w:p>
            <w:pPr>
              <w:spacing w:line="300" w:lineRule="exact"/>
              <w:ind w:firstLine="420"/>
              <w:rPr>
                <w:rFonts w:ascii="宋体" w:hAnsi="宋体" w:eastAsia="宋体"/>
                <w:color w:val="000000"/>
                <w:kern w:val="0"/>
                <w:sz w:val="20"/>
                <w:szCs w:val="20"/>
              </w:rPr>
            </w:pPr>
            <w:r>
              <w:rPr>
                <w:rFonts w:hint="default" w:ascii="Times New Roman" w:hAnsi="Times New Roman" w:eastAsia="宋体" w:cs="Times New Roman"/>
                <w:color w:val="000000"/>
                <w:kern w:val="0"/>
                <w:sz w:val="20"/>
                <w:szCs w:val="20"/>
              </w:rPr>
              <w:t>3</w:t>
            </w:r>
            <w:r>
              <w:rPr>
                <w:rFonts w:hint="eastAsia" w:ascii="宋体" w:hAnsi="宋体" w:eastAsia="宋体"/>
                <w:color w:val="000000"/>
                <w:kern w:val="0"/>
                <w:sz w:val="20"/>
                <w:szCs w:val="20"/>
              </w:rPr>
              <w:t>.被征收房屋的生产、经营单位或个人不是被征收人的，依照与被征收人的约定分配停产停业损失；没有约定的，由被征收人和生产、经营的单位或个人协商解决，协商不成的，由被征收人和生产、经营的单位或个人通过法律途径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3" w:hRule="atLeast"/>
          <w:jc w:val="center"/>
        </w:trPr>
        <w:tc>
          <w:tcPr>
            <w:tcW w:w="709" w:type="dxa"/>
            <w:vMerge w:val="continue"/>
            <w:vAlign w:val="center"/>
          </w:tcPr>
          <w:p>
            <w:pPr>
              <w:widowControl/>
              <w:jc w:val="left"/>
              <w:rPr>
                <w:rFonts w:ascii="宋体" w:hAnsi="宋体" w:eastAsia="宋体"/>
                <w:b/>
                <w:bCs/>
                <w:color w:val="000000"/>
                <w:kern w:val="0"/>
                <w:sz w:val="20"/>
                <w:szCs w:val="20"/>
              </w:rPr>
            </w:pPr>
          </w:p>
        </w:tc>
        <w:tc>
          <w:tcPr>
            <w:tcW w:w="425" w:type="dxa"/>
            <w:vMerge w:val="continue"/>
            <w:vAlign w:val="center"/>
          </w:tcPr>
          <w:p>
            <w:pPr>
              <w:widowControl/>
              <w:jc w:val="left"/>
              <w:rPr>
                <w:rFonts w:ascii="宋体" w:hAnsi="宋体" w:eastAsia="宋体"/>
                <w:color w:val="000000"/>
                <w:kern w:val="0"/>
                <w:sz w:val="20"/>
                <w:szCs w:val="20"/>
              </w:rPr>
            </w:pPr>
          </w:p>
        </w:tc>
        <w:tc>
          <w:tcPr>
            <w:tcW w:w="1060" w:type="dxa"/>
            <w:gridSpan w:val="2"/>
            <w:vMerge w:val="continue"/>
            <w:vAlign w:val="center"/>
          </w:tcPr>
          <w:p>
            <w:pPr>
              <w:widowControl/>
              <w:jc w:val="left"/>
              <w:rPr>
                <w:rFonts w:ascii="宋体" w:hAnsi="宋体" w:eastAsia="宋体"/>
                <w:color w:val="000000"/>
                <w:kern w:val="0"/>
                <w:sz w:val="20"/>
                <w:szCs w:val="20"/>
              </w:rPr>
            </w:pPr>
          </w:p>
        </w:tc>
        <w:tc>
          <w:tcPr>
            <w:tcW w:w="1350" w:type="dxa"/>
            <w:gridSpan w:val="2"/>
            <w:vMerge w:val="continue"/>
            <w:vAlign w:val="center"/>
          </w:tcPr>
          <w:p>
            <w:pPr>
              <w:widowControl/>
              <w:jc w:val="left"/>
              <w:rPr>
                <w:rFonts w:ascii="宋体" w:hAnsi="宋体" w:eastAsia="宋体"/>
                <w:color w:val="000000"/>
                <w:kern w:val="0"/>
                <w:sz w:val="20"/>
                <w:szCs w:val="20"/>
              </w:rPr>
            </w:pPr>
          </w:p>
        </w:tc>
        <w:tc>
          <w:tcPr>
            <w:tcW w:w="2773" w:type="dxa"/>
            <w:vAlign w:val="center"/>
          </w:tcPr>
          <w:p>
            <w:pPr>
              <w:spacing w:line="300" w:lineRule="exact"/>
              <w:jc w:val="center"/>
              <w:rPr>
                <w:rFonts w:ascii="宋体" w:hAnsi="宋体" w:eastAsia="宋体"/>
                <w:color w:val="000000"/>
                <w:kern w:val="0"/>
                <w:sz w:val="20"/>
                <w:szCs w:val="20"/>
                <w:highlight w:val="yellow"/>
              </w:rPr>
            </w:pPr>
            <w:r>
              <w:rPr>
                <w:rFonts w:hint="eastAsia" w:ascii="宋体" w:hAnsi="宋体" w:eastAsia="宋体"/>
                <w:color w:val="000000"/>
                <w:kern w:val="0"/>
                <w:sz w:val="20"/>
                <w:szCs w:val="20"/>
              </w:rPr>
              <w:t>房屋评估价值的</w:t>
            </w:r>
            <w:r>
              <w:rPr>
                <w:rFonts w:hint="default" w:ascii="Times New Roman" w:hAnsi="Times New Roman" w:eastAsia="宋体" w:cs="Times New Roman"/>
                <w:color w:val="000000"/>
                <w:kern w:val="0"/>
                <w:sz w:val="20"/>
                <w:szCs w:val="20"/>
              </w:rPr>
              <w:t>5</w:t>
            </w:r>
            <w:r>
              <w:rPr>
                <w:rFonts w:hint="eastAsia" w:ascii="宋体" w:hAnsi="宋体" w:eastAsia="宋体"/>
                <w:color w:val="000000"/>
                <w:kern w:val="0"/>
                <w:sz w:val="20"/>
                <w:szCs w:val="20"/>
              </w:rPr>
              <w:t>‰·月</w:t>
            </w:r>
          </w:p>
        </w:tc>
        <w:tc>
          <w:tcPr>
            <w:tcW w:w="8292" w:type="dxa"/>
            <w:gridSpan w:val="3"/>
            <w:vMerge w:val="continue"/>
            <w:vAlign w:val="center"/>
          </w:tcPr>
          <w:p>
            <w:pPr>
              <w:widowControl/>
              <w:jc w:val="left"/>
              <w:rPr>
                <w:rFonts w:ascii="宋体" w:hAnsi="宋体" w:eastAsia="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709" w:type="dxa"/>
            <w:vMerge w:val="continue"/>
            <w:vAlign w:val="center"/>
          </w:tcPr>
          <w:p>
            <w:pPr>
              <w:widowControl/>
              <w:jc w:val="left"/>
              <w:rPr>
                <w:rFonts w:ascii="宋体" w:hAnsi="宋体" w:eastAsia="宋体"/>
                <w:b/>
                <w:bCs/>
                <w:color w:val="000000"/>
                <w:kern w:val="0"/>
                <w:sz w:val="20"/>
                <w:szCs w:val="20"/>
              </w:rPr>
            </w:pPr>
          </w:p>
        </w:tc>
        <w:tc>
          <w:tcPr>
            <w:tcW w:w="425" w:type="dxa"/>
            <w:vMerge w:val="continue"/>
            <w:vAlign w:val="center"/>
          </w:tcPr>
          <w:p>
            <w:pPr>
              <w:widowControl/>
              <w:jc w:val="left"/>
              <w:rPr>
                <w:rFonts w:ascii="宋体" w:hAnsi="宋体" w:eastAsia="宋体"/>
                <w:color w:val="000000"/>
                <w:kern w:val="0"/>
                <w:sz w:val="20"/>
                <w:szCs w:val="20"/>
              </w:rPr>
            </w:pPr>
          </w:p>
        </w:tc>
        <w:tc>
          <w:tcPr>
            <w:tcW w:w="1060" w:type="dxa"/>
            <w:gridSpan w:val="2"/>
            <w:vMerge w:val="continue"/>
            <w:vAlign w:val="center"/>
          </w:tcPr>
          <w:p>
            <w:pPr>
              <w:widowControl/>
              <w:jc w:val="left"/>
              <w:rPr>
                <w:rFonts w:ascii="宋体" w:hAnsi="宋体" w:eastAsia="宋体"/>
                <w:color w:val="000000"/>
                <w:kern w:val="0"/>
                <w:sz w:val="20"/>
                <w:szCs w:val="20"/>
              </w:rPr>
            </w:pPr>
          </w:p>
        </w:tc>
        <w:tc>
          <w:tcPr>
            <w:tcW w:w="1350" w:type="dxa"/>
            <w:gridSpan w:val="2"/>
            <w:vAlign w:val="center"/>
          </w:tcPr>
          <w:p>
            <w:pPr>
              <w:spacing w:line="300" w:lineRule="exact"/>
              <w:jc w:val="center"/>
              <w:rPr>
                <w:rFonts w:ascii="宋体" w:hAnsi="宋体" w:eastAsia="宋体"/>
                <w:color w:val="000000"/>
                <w:kern w:val="0"/>
                <w:sz w:val="20"/>
                <w:szCs w:val="20"/>
              </w:rPr>
            </w:pPr>
            <w:r>
              <w:rPr>
                <w:rFonts w:hint="eastAsia" w:ascii="宋体" w:hAnsi="宋体" w:eastAsia="宋体"/>
                <w:color w:val="000000"/>
                <w:kern w:val="0"/>
                <w:sz w:val="20"/>
                <w:szCs w:val="20"/>
              </w:rPr>
              <w:t>住改非</w:t>
            </w:r>
          </w:p>
        </w:tc>
        <w:tc>
          <w:tcPr>
            <w:tcW w:w="2773" w:type="dxa"/>
            <w:vAlign w:val="center"/>
          </w:tcPr>
          <w:p>
            <w:pPr>
              <w:spacing w:line="300" w:lineRule="exact"/>
              <w:jc w:val="center"/>
              <w:rPr>
                <w:rFonts w:ascii="宋体" w:hAnsi="宋体" w:eastAsia="宋体"/>
                <w:color w:val="000000"/>
                <w:kern w:val="0"/>
                <w:sz w:val="20"/>
                <w:szCs w:val="20"/>
                <w:highlight w:val="yellow"/>
              </w:rPr>
            </w:pPr>
            <w:r>
              <w:rPr>
                <w:rFonts w:hint="eastAsia" w:ascii="宋体" w:hAnsi="宋体" w:eastAsia="宋体"/>
                <w:color w:val="000000"/>
                <w:kern w:val="0"/>
                <w:sz w:val="20"/>
                <w:szCs w:val="20"/>
              </w:rPr>
              <w:t>房屋评估价值的</w:t>
            </w:r>
            <w:r>
              <w:rPr>
                <w:rFonts w:hint="default" w:ascii="Times New Roman" w:hAnsi="Times New Roman" w:eastAsia="宋体" w:cs="Times New Roman"/>
                <w:color w:val="000000"/>
                <w:kern w:val="0"/>
                <w:sz w:val="20"/>
                <w:szCs w:val="20"/>
              </w:rPr>
              <w:t>6</w:t>
            </w:r>
            <w:r>
              <w:rPr>
                <w:rFonts w:hint="eastAsia" w:ascii="宋体" w:hAnsi="宋体" w:eastAsia="宋体"/>
                <w:color w:val="000000"/>
                <w:kern w:val="0"/>
                <w:sz w:val="20"/>
                <w:szCs w:val="20"/>
              </w:rPr>
              <w:t>%</w:t>
            </w:r>
          </w:p>
        </w:tc>
        <w:tc>
          <w:tcPr>
            <w:tcW w:w="8292" w:type="dxa"/>
            <w:gridSpan w:val="3"/>
            <w:vAlign w:val="center"/>
          </w:tcPr>
          <w:p>
            <w:pPr>
              <w:spacing w:line="300" w:lineRule="exact"/>
              <w:ind w:firstLine="420"/>
              <w:rPr>
                <w:rFonts w:ascii="宋体" w:hAnsi="宋体" w:eastAsia="宋体"/>
                <w:color w:val="000000"/>
                <w:kern w:val="0"/>
                <w:sz w:val="20"/>
                <w:szCs w:val="20"/>
              </w:rPr>
            </w:pPr>
            <w:r>
              <w:rPr>
                <w:rFonts w:hint="eastAsia" w:ascii="宋体" w:hAnsi="宋体" w:eastAsia="宋体"/>
                <w:color w:val="000000"/>
                <w:kern w:val="0"/>
                <w:sz w:val="20"/>
                <w:szCs w:val="20"/>
              </w:rPr>
              <w:t>按照《重庆市巴南区国有土地上房屋征收与补偿实施办法》第</w:t>
            </w:r>
            <w:r>
              <w:rPr>
                <w:rFonts w:hint="default" w:ascii="Times New Roman" w:hAnsi="Times New Roman" w:eastAsia="宋体" w:cs="Times New Roman"/>
                <w:color w:val="000000"/>
                <w:kern w:val="0"/>
                <w:sz w:val="20"/>
                <w:szCs w:val="20"/>
              </w:rPr>
              <w:t>49</w:t>
            </w:r>
            <w:r>
              <w:rPr>
                <w:rFonts w:hint="eastAsia" w:ascii="宋体" w:hAnsi="宋体" w:eastAsia="宋体"/>
                <w:color w:val="000000"/>
                <w:kern w:val="0"/>
                <w:sz w:val="20"/>
                <w:szCs w:val="20"/>
              </w:rPr>
              <w:t>条规定执行。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jc w:val="center"/>
        </w:trPr>
        <w:tc>
          <w:tcPr>
            <w:tcW w:w="709" w:type="dxa"/>
            <w:vMerge w:val="continue"/>
            <w:vAlign w:val="center"/>
          </w:tcPr>
          <w:p>
            <w:pPr>
              <w:widowControl/>
              <w:jc w:val="left"/>
              <w:rPr>
                <w:rFonts w:ascii="宋体" w:hAnsi="宋体" w:eastAsia="宋体"/>
                <w:b/>
                <w:bCs/>
                <w:color w:val="000000"/>
                <w:kern w:val="0"/>
                <w:sz w:val="20"/>
                <w:szCs w:val="20"/>
              </w:rPr>
            </w:pPr>
          </w:p>
        </w:tc>
        <w:tc>
          <w:tcPr>
            <w:tcW w:w="425" w:type="dxa"/>
            <w:vMerge w:val="restart"/>
            <w:vAlign w:val="center"/>
          </w:tcPr>
          <w:p>
            <w:pPr>
              <w:spacing w:line="300" w:lineRule="exact"/>
              <w:jc w:val="center"/>
              <w:rPr>
                <w:rFonts w:ascii="宋体" w:hAnsi="宋体" w:eastAsia="宋体"/>
                <w:color w:val="000000"/>
                <w:kern w:val="0"/>
                <w:sz w:val="20"/>
                <w:szCs w:val="20"/>
              </w:rPr>
            </w:pPr>
            <w:r>
              <w:rPr>
                <w:rFonts w:hint="default" w:ascii="Times New Roman" w:hAnsi="Times New Roman" w:eastAsia="宋体" w:cs="Times New Roman"/>
                <w:color w:val="000000"/>
                <w:kern w:val="0"/>
                <w:sz w:val="20"/>
                <w:szCs w:val="20"/>
              </w:rPr>
              <w:t>2</w:t>
            </w:r>
          </w:p>
        </w:tc>
        <w:tc>
          <w:tcPr>
            <w:tcW w:w="1060" w:type="dxa"/>
            <w:gridSpan w:val="2"/>
            <w:vMerge w:val="restart"/>
            <w:vAlign w:val="center"/>
          </w:tcPr>
          <w:p>
            <w:pPr>
              <w:spacing w:line="300" w:lineRule="exact"/>
              <w:jc w:val="center"/>
              <w:rPr>
                <w:rFonts w:ascii="宋体" w:hAnsi="宋体" w:eastAsia="宋体"/>
                <w:color w:val="000000"/>
                <w:kern w:val="0"/>
                <w:sz w:val="20"/>
                <w:szCs w:val="20"/>
              </w:rPr>
            </w:pPr>
            <w:r>
              <w:rPr>
                <w:rFonts w:hint="eastAsia" w:ascii="宋体" w:hAnsi="宋体" w:eastAsia="宋体"/>
                <w:color w:val="000000"/>
                <w:kern w:val="0"/>
                <w:sz w:val="20"/>
                <w:szCs w:val="20"/>
              </w:rPr>
              <w:t>室内装饰装修</w:t>
            </w:r>
          </w:p>
        </w:tc>
        <w:tc>
          <w:tcPr>
            <w:tcW w:w="1350" w:type="dxa"/>
            <w:gridSpan w:val="2"/>
            <w:vAlign w:val="center"/>
          </w:tcPr>
          <w:p>
            <w:pPr>
              <w:spacing w:line="300" w:lineRule="exact"/>
              <w:jc w:val="center"/>
              <w:rPr>
                <w:rFonts w:ascii="宋体" w:hAnsi="宋体" w:eastAsia="宋体"/>
                <w:color w:val="000000"/>
                <w:kern w:val="0"/>
                <w:sz w:val="20"/>
                <w:szCs w:val="20"/>
              </w:rPr>
            </w:pPr>
            <w:r>
              <w:rPr>
                <w:rFonts w:hint="eastAsia" w:ascii="宋体" w:hAnsi="宋体" w:eastAsia="宋体"/>
                <w:color w:val="000000"/>
                <w:kern w:val="0"/>
                <w:sz w:val="20"/>
                <w:szCs w:val="20"/>
              </w:rPr>
              <w:t>住宅</w:t>
            </w:r>
          </w:p>
        </w:tc>
        <w:tc>
          <w:tcPr>
            <w:tcW w:w="2773" w:type="dxa"/>
            <w:vAlign w:val="center"/>
          </w:tcPr>
          <w:p>
            <w:pPr>
              <w:spacing w:line="300" w:lineRule="exact"/>
              <w:jc w:val="center"/>
              <w:rPr>
                <w:rFonts w:ascii="宋体" w:hAnsi="宋体" w:eastAsia="宋体"/>
                <w:color w:val="000000"/>
                <w:kern w:val="0"/>
                <w:sz w:val="20"/>
                <w:szCs w:val="20"/>
              </w:rPr>
            </w:pPr>
            <w:r>
              <w:rPr>
                <w:rFonts w:hint="default" w:ascii="Times New Roman" w:hAnsi="Times New Roman" w:eastAsia="宋体" w:cs="Times New Roman"/>
                <w:color w:val="000000"/>
                <w:kern w:val="0"/>
                <w:sz w:val="20"/>
                <w:szCs w:val="20"/>
              </w:rPr>
              <w:t>400</w:t>
            </w:r>
            <w:r>
              <w:rPr>
                <w:rFonts w:hint="eastAsia" w:ascii="宋体" w:hAnsi="宋体" w:eastAsia="宋体"/>
                <w:color w:val="000000"/>
                <w:kern w:val="0"/>
                <w:sz w:val="20"/>
                <w:szCs w:val="20"/>
              </w:rPr>
              <w:t>元/平方米</w:t>
            </w:r>
          </w:p>
        </w:tc>
        <w:tc>
          <w:tcPr>
            <w:tcW w:w="8292" w:type="dxa"/>
            <w:gridSpan w:val="3"/>
            <w:vMerge w:val="restart"/>
            <w:vAlign w:val="center"/>
          </w:tcPr>
          <w:p>
            <w:pPr>
              <w:spacing w:line="300" w:lineRule="exact"/>
              <w:ind w:firstLine="420"/>
              <w:rPr>
                <w:rFonts w:ascii="宋体" w:hAnsi="宋体" w:eastAsia="宋体"/>
                <w:color w:val="000000"/>
                <w:kern w:val="0"/>
                <w:sz w:val="20"/>
                <w:szCs w:val="20"/>
              </w:rPr>
            </w:pPr>
            <w:r>
              <w:rPr>
                <w:rFonts w:hint="default" w:ascii="Times New Roman" w:hAnsi="Times New Roman" w:eastAsia="宋体" w:cs="Times New Roman"/>
                <w:color w:val="000000"/>
                <w:kern w:val="0"/>
                <w:sz w:val="20"/>
                <w:szCs w:val="20"/>
              </w:rPr>
              <w:t>1</w:t>
            </w:r>
            <w:r>
              <w:rPr>
                <w:rFonts w:hint="eastAsia" w:ascii="宋体" w:hAnsi="宋体" w:eastAsia="宋体"/>
                <w:color w:val="000000"/>
                <w:kern w:val="0"/>
                <w:sz w:val="20"/>
                <w:szCs w:val="20"/>
              </w:rPr>
              <w:t>.针对被征收人有证房屋及认定为合法建筑的房屋；</w:t>
            </w:r>
          </w:p>
          <w:p>
            <w:pPr>
              <w:spacing w:line="300" w:lineRule="exact"/>
              <w:ind w:firstLine="420"/>
              <w:rPr>
                <w:rFonts w:hint="eastAsia" w:ascii="宋体" w:hAnsi="宋体" w:eastAsia="宋体"/>
                <w:color w:val="000000"/>
                <w:kern w:val="0"/>
                <w:sz w:val="20"/>
                <w:szCs w:val="20"/>
              </w:rPr>
            </w:pPr>
            <w:r>
              <w:rPr>
                <w:rFonts w:hint="default" w:ascii="Times New Roman" w:hAnsi="Times New Roman" w:eastAsia="宋体" w:cs="Times New Roman"/>
                <w:color w:val="000000"/>
                <w:kern w:val="0"/>
                <w:sz w:val="20"/>
                <w:szCs w:val="20"/>
              </w:rPr>
              <w:t>2</w:t>
            </w:r>
            <w:r>
              <w:rPr>
                <w:rFonts w:hint="eastAsia" w:ascii="宋体" w:hAnsi="宋体" w:eastAsia="宋体"/>
                <w:color w:val="000000"/>
                <w:kern w:val="0"/>
                <w:sz w:val="20"/>
                <w:szCs w:val="20"/>
              </w:rPr>
              <w:t>.被征收人对补偿标准有异议的，由房屋征收当事人协商确定；协商不成的，经书面申请，由对被征收房屋价值进行评估的同一评估机构进行装饰装修评估，按照评估价格进行补偿，不再执行上述补偿标准。</w:t>
            </w:r>
          </w:p>
          <w:p>
            <w:pPr>
              <w:spacing w:line="300" w:lineRule="exact"/>
              <w:ind w:firstLine="420"/>
              <w:rPr>
                <w:rFonts w:ascii="宋体" w:hAnsi="宋体" w:eastAsia="宋体"/>
                <w:color w:val="000000"/>
                <w:kern w:val="0"/>
                <w:sz w:val="20"/>
                <w:szCs w:val="20"/>
              </w:rPr>
            </w:pPr>
            <w:r>
              <w:rPr>
                <w:rFonts w:hint="default" w:ascii="Times New Roman" w:hAnsi="Times New Roman" w:eastAsia="宋体" w:cs="Times New Roman"/>
                <w:color w:val="000000"/>
                <w:kern w:val="0"/>
                <w:sz w:val="20"/>
                <w:szCs w:val="20"/>
              </w:rPr>
              <w:t>3</w:t>
            </w:r>
            <w:r>
              <w:rPr>
                <w:rFonts w:hint="eastAsia" w:ascii="宋体" w:hAnsi="宋体" w:eastAsia="宋体"/>
                <w:color w:val="000000"/>
                <w:kern w:val="0"/>
                <w:sz w:val="20"/>
                <w:szCs w:val="20"/>
              </w:rPr>
              <w:t>.构筑物、附属物由同一评估机构进行评估，按照评估价格补偿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09" w:type="dxa"/>
            <w:vMerge w:val="continue"/>
            <w:vAlign w:val="center"/>
          </w:tcPr>
          <w:p>
            <w:pPr>
              <w:widowControl/>
              <w:jc w:val="left"/>
              <w:rPr>
                <w:rFonts w:ascii="宋体" w:hAnsi="宋体" w:eastAsia="宋体"/>
                <w:b/>
                <w:bCs/>
                <w:color w:val="000000"/>
                <w:kern w:val="0"/>
                <w:sz w:val="20"/>
                <w:szCs w:val="20"/>
              </w:rPr>
            </w:pPr>
          </w:p>
        </w:tc>
        <w:tc>
          <w:tcPr>
            <w:tcW w:w="425" w:type="dxa"/>
            <w:vMerge w:val="continue"/>
            <w:vAlign w:val="center"/>
          </w:tcPr>
          <w:p>
            <w:pPr>
              <w:widowControl/>
              <w:jc w:val="left"/>
              <w:rPr>
                <w:rFonts w:ascii="宋体" w:hAnsi="宋体" w:eastAsia="宋体"/>
                <w:color w:val="000000"/>
                <w:kern w:val="0"/>
                <w:sz w:val="20"/>
                <w:szCs w:val="20"/>
              </w:rPr>
            </w:pPr>
          </w:p>
        </w:tc>
        <w:tc>
          <w:tcPr>
            <w:tcW w:w="1060" w:type="dxa"/>
            <w:gridSpan w:val="2"/>
            <w:vMerge w:val="continue"/>
            <w:vAlign w:val="center"/>
          </w:tcPr>
          <w:p>
            <w:pPr>
              <w:widowControl/>
              <w:jc w:val="left"/>
              <w:rPr>
                <w:rFonts w:ascii="宋体" w:hAnsi="宋体" w:eastAsia="宋体"/>
                <w:color w:val="000000"/>
                <w:kern w:val="0"/>
                <w:sz w:val="20"/>
                <w:szCs w:val="20"/>
              </w:rPr>
            </w:pPr>
          </w:p>
        </w:tc>
        <w:tc>
          <w:tcPr>
            <w:tcW w:w="1350" w:type="dxa"/>
            <w:gridSpan w:val="2"/>
            <w:vAlign w:val="center"/>
          </w:tcPr>
          <w:p>
            <w:pPr>
              <w:spacing w:line="300" w:lineRule="exact"/>
              <w:jc w:val="center"/>
              <w:rPr>
                <w:rFonts w:ascii="宋体" w:hAnsi="宋体" w:eastAsia="宋体"/>
                <w:color w:val="000000"/>
                <w:kern w:val="0"/>
                <w:sz w:val="20"/>
                <w:szCs w:val="20"/>
              </w:rPr>
            </w:pPr>
            <w:r>
              <w:rPr>
                <w:rFonts w:hint="eastAsia" w:ascii="宋体" w:hAnsi="宋体" w:eastAsia="宋体"/>
                <w:color w:val="000000"/>
                <w:kern w:val="0"/>
                <w:sz w:val="20"/>
                <w:szCs w:val="20"/>
              </w:rPr>
              <w:t>非住宅</w:t>
            </w:r>
          </w:p>
        </w:tc>
        <w:tc>
          <w:tcPr>
            <w:tcW w:w="2773" w:type="dxa"/>
            <w:vAlign w:val="center"/>
          </w:tcPr>
          <w:p>
            <w:pPr>
              <w:spacing w:line="300" w:lineRule="exact"/>
              <w:rPr>
                <w:rFonts w:ascii="Calibri" w:hAnsi="Calibri" w:eastAsia="宋体"/>
                <w:kern w:val="44"/>
                <w:sz w:val="22"/>
                <w:szCs w:val="22"/>
              </w:rPr>
            </w:pPr>
            <w:r>
              <w:rPr>
                <w:rFonts w:hint="eastAsia" w:ascii="宋体" w:hAnsi="宋体" w:eastAsia="宋体"/>
                <w:color w:val="000000"/>
                <w:kern w:val="0"/>
                <w:sz w:val="20"/>
                <w:szCs w:val="20"/>
              </w:rPr>
              <w:t>商业、办公、业务用房</w:t>
            </w:r>
            <w:r>
              <w:rPr>
                <w:rFonts w:hint="default" w:ascii="Times New Roman" w:hAnsi="Times New Roman" w:eastAsia="宋体" w:cs="Times New Roman"/>
                <w:color w:val="000000"/>
                <w:kern w:val="0"/>
                <w:sz w:val="20"/>
                <w:szCs w:val="20"/>
              </w:rPr>
              <w:t>300</w:t>
            </w:r>
            <w:r>
              <w:rPr>
                <w:rFonts w:hint="eastAsia" w:ascii="宋体" w:hAnsi="宋体" w:eastAsia="宋体"/>
                <w:color w:val="000000"/>
                <w:kern w:val="0"/>
                <w:sz w:val="20"/>
                <w:szCs w:val="20"/>
              </w:rPr>
              <w:t>元/平方米；生产用房</w:t>
            </w:r>
            <w:r>
              <w:rPr>
                <w:rFonts w:hint="default" w:ascii="Times New Roman" w:hAnsi="Times New Roman" w:eastAsia="宋体" w:cs="Times New Roman"/>
                <w:color w:val="000000"/>
                <w:kern w:val="0"/>
                <w:sz w:val="20"/>
                <w:szCs w:val="20"/>
              </w:rPr>
              <w:t>100</w:t>
            </w:r>
            <w:r>
              <w:rPr>
                <w:rFonts w:hint="eastAsia" w:ascii="宋体" w:hAnsi="宋体" w:eastAsia="宋体"/>
                <w:color w:val="000000"/>
                <w:kern w:val="0"/>
                <w:sz w:val="20"/>
                <w:szCs w:val="20"/>
              </w:rPr>
              <w:t>元/平方米</w:t>
            </w:r>
          </w:p>
        </w:tc>
        <w:tc>
          <w:tcPr>
            <w:tcW w:w="8292" w:type="dxa"/>
            <w:gridSpan w:val="3"/>
            <w:vMerge w:val="continue"/>
            <w:vAlign w:val="center"/>
          </w:tcPr>
          <w:p>
            <w:pPr>
              <w:widowControl/>
              <w:jc w:val="left"/>
              <w:rPr>
                <w:rFonts w:ascii="宋体" w:hAnsi="宋体" w:eastAsia="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09" w:type="dxa"/>
            <w:vMerge w:val="restart"/>
            <w:vAlign w:val="center"/>
          </w:tcPr>
          <w:p>
            <w:pPr>
              <w:spacing w:line="300" w:lineRule="exact"/>
              <w:jc w:val="center"/>
              <w:rPr>
                <w:rFonts w:ascii="宋体" w:hAnsi="宋体" w:eastAsia="宋体"/>
                <w:b/>
                <w:bCs/>
                <w:color w:val="000000"/>
                <w:kern w:val="0"/>
                <w:sz w:val="20"/>
                <w:szCs w:val="20"/>
              </w:rPr>
            </w:pPr>
            <w:r>
              <w:rPr>
                <w:rFonts w:hint="eastAsia" w:ascii="宋体" w:hAnsi="宋体" w:eastAsia="宋体"/>
                <w:b/>
                <w:bCs/>
                <w:color w:val="000000"/>
                <w:kern w:val="0"/>
                <w:sz w:val="20"/>
                <w:szCs w:val="20"/>
              </w:rPr>
              <w:t>损失补偿</w:t>
            </w:r>
          </w:p>
        </w:tc>
        <w:tc>
          <w:tcPr>
            <w:tcW w:w="425" w:type="dxa"/>
            <w:vMerge w:val="restart"/>
            <w:vAlign w:val="center"/>
          </w:tcPr>
          <w:p>
            <w:pPr>
              <w:spacing w:line="300" w:lineRule="exact"/>
              <w:jc w:val="center"/>
              <w:rPr>
                <w:rFonts w:ascii="宋体" w:hAnsi="宋体" w:eastAsia="宋体"/>
                <w:color w:val="000000"/>
                <w:kern w:val="0"/>
                <w:sz w:val="20"/>
                <w:szCs w:val="20"/>
              </w:rPr>
            </w:pPr>
            <w:r>
              <w:rPr>
                <w:rFonts w:hint="default" w:ascii="Times New Roman" w:hAnsi="Times New Roman" w:eastAsia="宋体" w:cs="Times New Roman"/>
                <w:color w:val="000000"/>
                <w:kern w:val="0"/>
                <w:sz w:val="20"/>
                <w:szCs w:val="20"/>
              </w:rPr>
              <w:t>3</w:t>
            </w:r>
          </w:p>
        </w:tc>
        <w:tc>
          <w:tcPr>
            <w:tcW w:w="1060" w:type="dxa"/>
            <w:gridSpan w:val="2"/>
            <w:vMerge w:val="restart"/>
            <w:vAlign w:val="center"/>
          </w:tcPr>
          <w:p>
            <w:pPr>
              <w:spacing w:line="300" w:lineRule="exact"/>
              <w:jc w:val="center"/>
              <w:rPr>
                <w:rFonts w:ascii="宋体" w:hAnsi="宋体" w:eastAsia="宋体"/>
                <w:color w:val="000000"/>
                <w:kern w:val="0"/>
                <w:sz w:val="20"/>
                <w:szCs w:val="20"/>
              </w:rPr>
            </w:pPr>
            <w:r>
              <w:rPr>
                <w:rFonts w:hint="eastAsia" w:ascii="宋体" w:hAnsi="宋体" w:eastAsia="宋体"/>
                <w:color w:val="000000"/>
                <w:kern w:val="0"/>
                <w:sz w:val="20"/>
                <w:szCs w:val="20"/>
              </w:rPr>
              <w:t>附属设施</w:t>
            </w:r>
          </w:p>
        </w:tc>
        <w:tc>
          <w:tcPr>
            <w:tcW w:w="1350" w:type="dxa"/>
            <w:gridSpan w:val="2"/>
            <w:vAlign w:val="center"/>
          </w:tcPr>
          <w:p>
            <w:pPr>
              <w:spacing w:line="300" w:lineRule="exact"/>
              <w:jc w:val="center"/>
              <w:rPr>
                <w:rFonts w:ascii="宋体" w:hAnsi="宋体" w:eastAsia="宋体"/>
                <w:color w:val="000000"/>
                <w:kern w:val="0"/>
                <w:sz w:val="20"/>
                <w:szCs w:val="20"/>
              </w:rPr>
            </w:pPr>
            <w:r>
              <w:rPr>
                <w:rFonts w:hint="eastAsia" w:ascii="宋体" w:hAnsi="宋体" w:eastAsia="宋体"/>
                <w:color w:val="000000"/>
                <w:kern w:val="0"/>
                <w:sz w:val="20"/>
                <w:szCs w:val="20"/>
              </w:rPr>
              <w:t>水表</w:t>
            </w:r>
          </w:p>
        </w:tc>
        <w:tc>
          <w:tcPr>
            <w:tcW w:w="2773" w:type="dxa"/>
            <w:vAlign w:val="center"/>
          </w:tcPr>
          <w:p>
            <w:pPr>
              <w:spacing w:line="300" w:lineRule="exact"/>
              <w:jc w:val="center"/>
              <w:rPr>
                <w:rFonts w:ascii="宋体" w:hAnsi="宋体" w:eastAsia="宋体"/>
                <w:color w:val="000000"/>
                <w:kern w:val="0"/>
                <w:sz w:val="20"/>
                <w:szCs w:val="20"/>
              </w:rPr>
            </w:pPr>
            <w:r>
              <w:rPr>
                <w:rFonts w:hint="default" w:ascii="Times New Roman" w:hAnsi="Times New Roman" w:eastAsia="宋体" w:cs="Times New Roman"/>
                <w:color w:val="000000"/>
                <w:kern w:val="0"/>
                <w:sz w:val="20"/>
                <w:szCs w:val="20"/>
              </w:rPr>
              <w:t>600</w:t>
            </w:r>
            <w:r>
              <w:rPr>
                <w:rFonts w:hint="eastAsia" w:ascii="宋体" w:hAnsi="宋体" w:eastAsia="宋体"/>
                <w:color w:val="000000"/>
                <w:kern w:val="0"/>
                <w:sz w:val="20"/>
                <w:szCs w:val="20"/>
              </w:rPr>
              <w:t>元/户</w:t>
            </w:r>
          </w:p>
        </w:tc>
        <w:tc>
          <w:tcPr>
            <w:tcW w:w="8292" w:type="dxa"/>
            <w:gridSpan w:val="3"/>
            <w:vMerge w:val="restart"/>
            <w:vAlign w:val="center"/>
          </w:tcPr>
          <w:p>
            <w:pPr>
              <w:spacing w:line="300" w:lineRule="exact"/>
              <w:ind w:firstLine="420"/>
              <w:rPr>
                <w:rFonts w:ascii="宋体" w:hAnsi="宋体" w:eastAsia="宋体"/>
                <w:color w:val="000000"/>
                <w:kern w:val="0"/>
                <w:sz w:val="20"/>
                <w:szCs w:val="20"/>
              </w:rPr>
            </w:pPr>
            <w:r>
              <w:rPr>
                <w:rFonts w:hint="default" w:ascii="Times New Roman" w:hAnsi="Times New Roman" w:eastAsia="宋体" w:cs="Times New Roman"/>
                <w:color w:val="000000"/>
                <w:kern w:val="0"/>
                <w:sz w:val="20"/>
                <w:szCs w:val="20"/>
              </w:rPr>
              <w:t>1</w:t>
            </w:r>
            <w:r>
              <w:rPr>
                <w:rFonts w:hint="eastAsia" w:ascii="宋体" w:hAnsi="宋体" w:eastAsia="宋体"/>
                <w:color w:val="000000"/>
                <w:kern w:val="0"/>
                <w:sz w:val="20"/>
                <w:szCs w:val="20"/>
              </w:rPr>
              <w:t>.如有行业收费标准的，从其标准执行。</w:t>
            </w:r>
          </w:p>
          <w:p>
            <w:pPr>
              <w:spacing w:line="300" w:lineRule="exact"/>
              <w:ind w:firstLine="420"/>
              <w:rPr>
                <w:rFonts w:hint="eastAsia" w:ascii="宋体" w:hAnsi="宋体" w:eastAsia="宋体"/>
                <w:color w:val="000000"/>
                <w:kern w:val="0"/>
                <w:sz w:val="20"/>
                <w:szCs w:val="20"/>
              </w:rPr>
            </w:pPr>
            <w:r>
              <w:rPr>
                <w:rFonts w:hint="default" w:ascii="Times New Roman" w:hAnsi="Times New Roman" w:eastAsia="宋体" w:cs="Times New Roman"/>
                <w:color w:val="000000"/>
                <w:kern w:val="0"/>
                <w:sz w:val="20"/>
                <w:szCs w:val="20"/>
              </w:rPr>
              <w:t>2</w:t>
            </w:r>
            <w:r>
              <w:rPr>
                <w:rFonts w:hint="eastAsia" w:ascii="宋体" w:hAnsi="宋体" w:eastAsia="宋体"/>
                <w:color w:val="000000"/>
                <w:kern w:val="0"/>
                <w:sz w:val="20"/>
                <w:szCs w:val="20"/>
              </w:rPr>
              <w:t>.选择货币补偿的，按本标准给予补偿；选择房屋产权调换的，不给予补偿，由征收人恢复安装，不另行收费。</w:t>
            </w:r>
          </w:p>
          <w:p>
            <w:pPr>
              <w:spacing w:line="300" w:lineRule="exact"/>
              <w:ind w:firstLine="420"/>
              <w:rPr>
                <w:rFonts w:ascii="宋体" w:hAnsi="宋体" w:eastAsia="宋体"/>
                <w:color w:val="000000"/>
                <w:kern w:val="0"/>
                <w:sz w:val="20"/>
                <w:szCs w:val="20"/>
              </w:rPr>
            </w:pPr>
            <w:r>
              <w:rPr>
                <w:rFonts w:hint="default" w:ascii="Times New Roman" w:hAnsi="Times New Roman" w:eastAsia="宋体" w:cs="Times New Roman"/>
                <w:color w:val="000000"/>
                <w:kern w:val="0"/>
                <w:sz w:val="20"/>
                <w:szCs w:val="20"/>
              </w:rPr>
              <w:t>3</w:t>
            </w:r>
            <w:r>
              <w:rPr>
                <w:rFonts w:hint="eastAsia" w:ascii="宋体" w:hAnsi="宋体" w:eastAsia="宋体"/>
                <w:color w:val="000000"/>
                <w:kern w:val="0"/>
                <w:sz w:val="20"/>
                <w:szCs w:val="20"/>
              </w:rPr>
              <w:t>.本条所指的“户”以缴费户为单位。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09" w:type="dxa"/>
            <w:vMerge w:val="continue"/>
            <w:vAlign w:val="center"/>
          </w:tcPr>
          <w:p>
            <w:pPr>
              <w:widowControl/>
              <w:jc w:val="left"/>
              <w:rPr>
                <w:rFonts w:ascii="宋体" w:hAnsi="宋体" w:eastAsia="宋体"/>
                <w:b/>
                <w:bCs/>
                <w:color w:val="000000"/>
                <w:kern w:val="0"/>
                <w:sz w:val="20"/>
                <w:szCs w:val="20"/>
              </w:rPr>
            </w:pPr>
          </w:p>
        </w:tc>
        <w:tc>
          <w:tcPr>
            <w:tcW w:w="425" w:type="dxa"/>
            <w:vMerge w:val="continue"/>
            <w:vAlign w:val="center"/>
          </w:tcPr>
          <w:p>
            <w:pPr>
              <w:widowControl/>
              <w:jc w:val="left"/>
              <w:rPr>
                <w:rFonts w:ascii="宋体" w:hAnsi="宋体" w:eastAsia="宋体"/>
                <w:color w:val="000000"/>
                <w:kern w:val="0"/>
                <w:sz w:val="20"/>
                <w:szCs w:val="20"/>
              </w:rPr>
            </w:pPr>
          </w:p>
        </w:tc>
        <w:tc>
          <w:tcPr>
            <w:tcW w:w="1060" w:type="dxa"/>
            <w:gridSpan w:val="2"/>
            <w:vMerge w:val="continue"/>
            <w:vAlign w:val="center"/>
          </w:tcPr>
          <w:p>
            <w:pPr>
              <w:widowControl/>
              <w:jc w:val="left"/>
              <w:rPr>
                <w:rFonts w:ascii="宋体" w:hAnsi="宋体" w:eastAsia="宋体"/>
                <w:color w:val="000000"/>
                <w:kern w:val="0"/>
                <w:sz w:val="20"/>
                <w:szCs w:val="20"/>
              </w:rPr>
            </w:pPr>
          </w:p>
        </w:tc>
        <w:tc>
          <w:tcPr>
            <w:tcW w:w="1350" w:type="dxa"/>
            <w:gridSpan w:val="2"/>
            <w:vAlign w:val="center"/>
          </w:tcPr>
          <w:p>
            <w:pPr>
              <w:spacing w:line="300" w:lineRule="exact"/>
              <w:jc w:val="center"/>
              <w:rPr>
                <w:rFonts w:ascii="宋体" w:hAnsi="宋体" w:eastAsia="宋体"/>
                <w:color w:val="000000"/>
                <w:kern w:val="0"/>
                <w:sz w:val="20"/>
                <w:szCs w:val="20"/>
              </w:rPr>
            </w:pPr>
            <w:r>
              <w:rPr>
                <w:rFonts w:hint="eastAsia" w:ascii="宋体" w:hAnsi="宋体" w:eastAsia="宋体"/>
                <w:color w:val="000000"/>
                <w:kern w:val="0"/>
                <w:sz w:val="20"/>
                <w:szCs w:val="20"/>
              </w:rPr>
              <w:t>电表</w:t>
            </w:r>
          </w:p>
        </w:tc>
        <w:tc>
          <w:tcPr>
            <w:tcW w:w="2773" w:type="dxa"/>
            <w:vAlign w:val="center"/>
          </w:tcPr>
          <w:p>
            <w:pPr>
              <w:spacing w:line="300" w:lineRule="exact"/>
              <w:jc w:val="center"/>
              <w:rPr>
                <w:rFonts w:ascii="宋体" w:hAnsi="宋体" w:eastAsia="宋体"/>
                <w:color w:val="000000"/>
                <w:kern w:val="0"/>
                <w:sz w:val="20"/>
                <w:szCs w:val="20"/>
              </w:rPr>
            </w:pPr>
            <w:r>
              <w:rPr>
                <w:rFonts w:hint="default" w:ascii="Times New Roman" w:hAnsi="Times New Roman" w:eastAsia="宋体" w:cs="Times New Roman"/>
                <w:color w:val="000000"/>
                <w:kern w:val="0"/>
                <w:sz w:val="20"/>
                <w:szCs w:val="20"/>
              </w:rPr>
              <w:t>600</w:t>
            </w:r>
            <w:r>
              <w:rPr>
                <w:rFonts w:hint="eastAsia" w:ascii="宋体" w:hAnsi="宋体" w:eastAsia="宋体"/>
                <w:color w:val="000000"/>
                <w:kern w:val="0"/>
                <w:sz w:val="20"/>
                <w:szCs w:val="20"/>
              </w:rPr>
              <w:t>元/户</w:t>
            </w:r>
          </w:p>
        </w:tc>
        <w:tc>
          <w:tcPr>
            <w:tcW w:w="8292" w:type="dxa"/>
            <w:gridSpan w:val="3"/>
            <w:vMerge w:val="continue"/>
            <w:vAlign w:val="center"/>
          </w:tcPr>
          <w:p>
            <w:pPr>
              <w:widowControl/>
              <w:jc w:val="left"/>
              <w:rPr>
                <w:rFonts w:ascii="宋体" w:hAnsi="宋体" w:eastAsia="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09" w:type="dxa"/>
            <w:vMerge w:val="continue"/>
            <w:vAlign w:val="center"/>
          </w:tcPr>
          <w:p>
            <w:pPr>
              <w:widowControl/>
              <w:jc w:val="left"/>
              <w:rPr>
                <w:rFonts w:ascii="宋体" w:hAnsi="宋体" w:eastAsia="宋体"/>
                <w:b/>
                <w:bCs/>
                <w:color w:val="000000"/>
                <w:kern w:val="0"/>
                <w:sz w:val="20"/>
                <w:szCs w:val="20"/>
              </w:rPr>
            </w:pPr>
          </w:p>
        </w:tc>
        <w:tc>
          <w:tcPr>
            <w:tcW w:w="425" w:type="dxa"/>
            <w:vMerge w:val="continue"/>
            <w:vAlign w:val="center"/>
          </w:tcPr>
          <w:p>
            <w:pPr>
              <w:widowControl/>
              <w:jc w:val="left"/>
              <w:rPr>
                <w:rFonts w:ascii="宋体" w:hAnsi="宋体" w:eastAsia="宋体"/>
                <w:color w:val="000000"/>
                <w:kern w:val="0"/>
                <w:sz w:val="20"/>
                <w:szCs w:val="20"/>
              </w:rPr>
            </w:pPr>
          </w:p>
        </w:tc>
        <w:tc>
          <w:tcPr>
            <w:tcW w:w="1060" w:type="dxa"/>
            <w:gridSpan w:val="2"/>
            <w:vMerge w:val="continue"/>
            <w:vAlign w:val="center"/>
          </w:tcPr>
          <w:p>
            <w:pPr>
              <w:widowControl/>
              <w:jc w:val="left"/>
              <w:rPr>
                <w:rFonts w:ascii="宋体" w:hAnsi="宋体" w:eastAsia="宋体"/>
                <w:color w:val="000000"/>
                <w:kern w:val="0"/>
                <w:sz w:val="20"/>
                <w:szCs w:val="20"/>
              </w:rPr>
            </w:pPr>
          </w:p>
        </w:tc>
        <w:tc>
          <w:tcPr>
            <w:tcW w:w="1350" w:type="dxa"/>
            <w:gridSpan w:val="2"/>
            <w:vAlign w:val="center"/>
          </w:tcPr>
          <w:p>
            <w:pPr>
              <w:spacing w:line="300" w:lineRule="exact"/>
              <w:jc w:val="center"/>
              <w:rPr>
                <w:rFonts w:ascii="宋体" w:hAnsi="宋体" w:eastAsia="宋体"/>
                <w:color w:val="000000"/>
                <w:kern w:val="0"/>
                <w:sz w:val="20"/>
                <w:szCs w:val="20"/>
              </w:rPr>
            </w:pPr>
            <w:r>
              <w:rPr>
                <w:rFonts w:hint="eastAsia" w:ascii="宋体" w:hAnsi="宋体" w:eastAsia="宋体"/>
                <w:color w:val="000000"/>
                <w:kern w:val="0"/>
                <w:sz w:val="20"/>
                <w:szCs w:val="20"/>
              </w:rPr>
              <w:t>天然气</w:t>
            </w:r>
          </w:p>
        </w:tc>
        <w:tc>
          <w:tcPr>
            <w:tcW w:w="2773" w:type="dxa"/>
            <w:vAlign w:val="center"/>
          </w:tcPr>
          <w:p>
            <w:pPr>
              <w:spacing w:line="300" w:lineRule="exact"/>
              <w:jc w:val="center"/>
              <w:rPr>
                <w:rFonts w:ascii="宋体" w:hAnsi="宋体" w:eastAsia="宋体"/>
                <w:color w:val="000000"/>
                <w:kern w:val="0"/>
                <w:sz w:val="20"/>
                <w:szCs w:val="20"/>
              </w:rPr>
            </w:pPr>
            <w:r>
              <w:rPr>
                <w:rFonts w:hint="default" w:ascii="Times New Roman" w:hAnsi="Times New Roman" w:eastAsia="宋体" w:cs="Times New Roman"/>
                <w:color w:val="000000"/>
                <w:kern w:val="0"/>
                <w:sz w:val="20"/>
                <w:szCs w:val="20"/>
              </w:rPr>
              <w:t>3500</w:t>
            </w:r>
            <w:r>
              <w:rPr>
                <w:rFonts w:hint="eastAsia" w:ascii="宋体" w:hAnsi="宋体" w:eastAsia="宋体"/>
                <w:color w:val="000000"/>
                <w:kern w:val="0"/>
                <w:sz w:val="20"/>
                <w:szCs w:val="20"/>
              </w:rPr>
              <w:t>元/户</w:t>
            </w:r>
          </w:p>
        </w:tc>
        <w:tc>
          <w:tcPr>
            <w:tcW w:w="8292" w:type="dxa"/>
            <w:gridSpan w:val="3"/>
            <w:vMerge w:val="continue"/>
            <w:vAlign w:val="center"/>
          </w:tcPr>
          <w:p>
            <w:pPr>
              <w:widowControl/>
              <w:jc w:val="left"/>
              <w:rPr>
                <w:rFonts w:ascii="宋体" w:hAnsi="宋体" w:eastAsia="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09" w:type="dxa"/>
            <w:vMerge w:val="continue"/>
            <w:vAlign w:val="center"/>
          </w:tcPr>
          <w:p>
            <w:pPr>
              <w:widowControl/>
              <w:jc w:val="left"/>
              <w:rPr>
                <w:rFonts w:ascii="宋体" w:hAnsi="宋体" w:eastAsia="宋体"/>
                <w:b/>
                <w:bCs/>
                <w:color w:val="000000"/>
                <w:kern w:val="0"/>
                <w:sz w:val="20"/>
                <w:szCs w:val="20"/>
              </w:rPr>
            </w:pPr>
          </w:p>
        </w:tc>
        <w:tc>
          <w:tcPr>
            <w:tcW w:w="425" w:type="dxa"/>
            <w:vMerge w:val="continue"/>
            <w:vAlign w:val="center"/>
          </w:tcPr>
          <w:p>
            <w:pPr>
              <w:widowControl/>
              <w:jc w:val="left"/>
              <w:rPr>
                <w:rFonts w:ascii="宋体" w:hAnsi="宋体" w:eastAsia="宋体"/>
                <w:color w:val="000000"/>
                <w:kern w:val="0"/>
                <w:sz w:val="20"/>
                <w:szCs w:val="20"/>
              </w:rPr>
            </w:pPr>
          </w:p>
        </w:tc>
        <w:tc>
          <w:tcPr>
            <w:tcW w:w="1060" w:type="dxa"/>
            <w:gridSpan w:val="2"/>
            <w:vMerge w:val="continue"/>
            <w:vAlign w:val="center"/>
          </w:tcPr>
          <w:p>
            <w:pPr>
              <w:widowControl/>
              <w:jc w:val="left"/>
              <w:rPr>
                <w:rFonts w:ascii="宋体" w:hAnsi="宋体" w:eastAsia="宋体"/>
                <w:color w:val="000000"/>
                <w:kern w:val="0"/>
                <w:sz w:val="20"/>
                <w:szCs w:val="20"/>
              </w:rPr>
            </w:pPr>
          </w:p>
        </w:tc>
        <w:tc>
          <w:tcPr>
            <w:tcW w:w="1350" w:type="dxa"/>
            <w:gridSpan w:val="2"/>
            <w:vAlign w:val="center"/>
          </w:tcPr>
          <w:p>
            <w:pPr>
              <w:spacing w:line="300" w:lineRule="exact"/>
              <w:jc w:val="center"/>
              <w:rPr>
                <w:rFonts w:ascii="宋体" w:hAnsi="宋体" w:eastAsia="宋体"/>
                <w:color w:val="000000"/>
                <w:kern w:val="0"/>
                <w:sz w:val="20"/>
                <w:szCs w:val="20"/>
              </w:rPr>
            </w:pPr>
            <w:r>
              <w:rPr>
                <w:rFonts w:hint="eastAsia" w:ascii="宋体" w:hAnsi="宋体" w:eastAsia="宋体"/>
                <w:color w:val="000000"/>
                <w:kern w:val="0"/>
                <w:sz w:val="20"/>
                <w:szCs w:val="20"/>
              </w:rPr>
              <w:t>闭路</w:t>
            </w:r>
          </w:p>
        </w:tc>
        <w:tc>
          <w:tcPr>
            <w:tcW w:w="2773" w:type="dxa"/>
            <w:vAlign w:val="center"/>
          </w:tcPr>
          <w:p>
            <w:pPr>
              <w:spacing w:line="300" w:lineRule="exact"/>
              <w:jc w:val="center"/>
              <w:rPr>
                <w:rFonts w:ascii="宋体" w:hAnsi="宋体" w:eastAsia="宋体"/>
                <w:color w:val="000000"/>
                <w:kern w:val="0"/>
                <w:sz w:val="20"/>
                <w:szCs w:val="20"/>
              </w:rPr>
            </w:pPr>
            <w:r>
              <w:rPr>
                <w:rFonts w:hint="default" w:ascii="Times New Roman" w:hAnsi="Times New Roman" w:eastAsia="宋体" w:cs="Times New Roman"/>
                <w:color w:val="000000"/>
                <w:kern w:val="0"/>
                <w:sz w:val="20"/>
                <w:szCs w:val="20"/>
              </w:rPr>
              <w:t>450</w:t>
            </w:r>
            <w:r>
              <w:rPr>
                <w:rFonts w:hint="eastAsia" w:ascii="宋体" w:hAnsi="宋体" w:eastAsia="宋体"/>
                <w:color w:val="000000"/>
                <w:kern w:val="0"/>
                <w:sz w:val="20"/>
                <w:szCs w:val="20"/>
              </w:rPr>
              <w:t>元/户</w:t>
            </w:r>
          </w:p>
        </w:tc>
        <w:tc>
          <w:tcPr>
            <w:tcW w:w="8292" w:type="dxa"/>
            <w:gridSpan w:val="3"/>
            <w:vMerge w:val="continue"/>
            <w:vAlign w:val="center"/>
          </w:tcPr>
          <w:p>
            <w:pPr>
              <w:widowControl/>
              <w:jc w:val="left"/>
              <w:rPr>
                <w:rFonts w:ascii="宋体" w:hAnsi="宋体" w:eastAsia="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09" w:type="dxa"/>
            <w:vMerge w:val="continue"/>
            <w:vAlign w:val="center"/>
          </w:tcPr>
          <w:p>
            <w:pPr>
              <w:widowControl/>
              <w:jc w:val="left"/>
              <w:rPr>
                <w:rFonts w:ascii="宋体" w:hAnsi="宋体" w:eastAsia="宋体"/>
                <w:b/>
                <w:bCs/>
                <w:color w:val="000000"/>
                <w:kern w:val="0"/>
                <w:sz w:val="20"/>
                <w:szCs w:val="20"/>
              </w:rPr>
            </w:pPr>
          </w:p>
        </w:tc>
        <w:tc>
          <w:tcPr>
            <w:tcW w:w="425" w:type="dxa"/>
            <w:vMerge w:val="continue"/>
            <w:vAlign w:val="center"/>
          </w:tcPr>
          <w:p>
            <w:pPr>
              <w:widowControl/>
              <w:jc w:val="left"/>
              <w:rPr>
                <w:rFonts w:ascii="宋体" w:hAnsi="宋体" w:eastAsia="宋体"/>
                <w:color w:val="000000"/>
                <w:kern w:val="0"/>
                <w:sz w:val="20"/>
                <w:szCs w:val="20"/>
              </w:rPr>
            </w:pPr>
          </w:p>
        </w:tc>
        <w:tc>
          <w:tcPr>
            <w:tcW w:w="1060" w:type="dxa"/>
            <w:gridSpan w:val="2"/>
            <w:vMerge w:val="continue"/>
            <w:vAlign w:val="center"/>
          </w:tcPr>
          <w:p>
            <w:pPr>
              <w:widowControl/>
              <w:jc w:val="left"/>
              <w:rPr>
                <w:rFonts w:ascii="宋体" w:hAnsi="宋体" w:eastAsia="宋体"/>
                <w:color w:val="000000"/>
                <w:kern w:val="0"/>
                <w:sz w:val="20"/>
                <w:szCs w:val="20"/>
              </w:rPr>
            </w:pPr>
          </w:p>
        </w:tc>
        <w:tc>
          <w:tcPr>
            <w:tcW w:w="1350" w:type="dxa"/>
            <w:gridSpan w:val="2"/>
            <w:vAlign w:val="center"/>
          </w:tcPr>
          <w:p>
            <w:pPr>
              <w:spacing w:line="300" w:lineRule="exact"/>
              <w:jc w:val="center"/>
              <w:rPr>
                <w:rFonts w:ascii="宋体" w:hAnsi="宋体" w:eastAsia="宋体"/>
                <w:color w:val="000000"/>
                <w:kern w:val="0"/>
                <w:sz w:val="20"/>
                <w:szCs w:val="20"/>
              </w:rPr>
            </w:pPr>
            <w:r>
              <w:rPr>
                <w:rFonts w:hint="eastAsia" w:ascii="宋体" w:hAnsi="宋体" w:eastAsia="宋体"/>
                <w:color w:val="000000"/>
                <w:kern w:val="0"/>
                <w:sz w:val="20"/>
                <w:szCs w:val="20"/>
              </w:rPr>
              <w:t>宽带</w:t>
            </w:r>
          </w:p>
        </w:tc>
        <w:tc>
          <w:tcPr>
            <w:tcW w:w="2773" w:type="dxa"/>
            <w:vAlign w:val="center"/>
          </w:tcPr>
          <w:p>
            <w:pPr>
              <w:spacing w:line="300" w:lineRule="exact"/>
              <w:jc w:val="center"/>
              <w:rPr>
                <w:rFonts w:ascii="宋体" w:hAnsi="宋体" w:eastAsia="宋体"/>
                <w:color w:val="000000"/>
                <w:kern w:val="0"/>
                <w:sz w:val="20"/>
                <w:szCs w:val="20"/>
              </w:rPr>
            </w:pPr>
            <w:r>
              <w:rPr>
                <w:rFonts w:hint="default" w:ascii="Times New Roman" w:hAnsi="Times New Roman" w:eastAsia="宋体" w:cs="Times New Roman"/>
                <w:color w:val="000000"/>
                <w:kern w:val="0"/>
                <w:sz w:val="20"/>
                <w:szCs w:val="20"/>
              </w:rPr>
              <w:t>300</w:t>
            </w:r>
            <w:r>
              <w:rPr>
                <w:rFonts w:hint="eastAsia" w:ascii="宋体" w:hAnsi="宋体" w:eastAsia="宋体"/>
                <w:color w:val="000000"/>
                <w:kern w:val="0"/>
                <w:sz w:val="20"/>
                <w:szCs w:val="20"/>
              </w:rPr>
              <w:t>元/户</w:t>
            </w:r>
          </w:p>
        </w:tc>
        <w:tc>
          <w:tcPr>
            <w:tcW w:w="8292" w:type="dxa"/>
            <w:gridSpan w:val="3"/>
            <w:vMerge w:val="continue"/>
            <w:vAlign w:val="center"/>
          </w:tcPr>
          <w:p>
            <w:pPr>
              <w:widowControl/>
              <w:jc w:val="left"/>
              <w:rPr>
                <w:rFonts w:ascii="宋体" w:hAnsi="宋体" w:eastAsia="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709" w:type="dxa"/>
            <w:vMerge w:val="continue"/>
            <w:vAlign w:val="center"/>
          </w:tcPr>
          <w:p>
            <w:pPr>
              <w:widowControl/>
              <w:jc w:val="left"/>
              <w:rPr>
                <w:rFonts w:ascii="宋体" w:hAnsi="宋体" w:eastAsia="宋体"/>
                <w:b/>
                <w:bCs/>
                <w:color w:val="000000"/>
                <w:kern w:val="0"/>
                <w:sz w:val="20"/>
                <w:szCs w:val="20"/>
              </w:rPr>
            </w:pPr>
          </w:p>
        </w:tc>
        <w:tc>
          <w:tcPr>
            <w:tcW w:w="425" w:type="dxa"/>
            <w:vMerge w:val="continue"/>
            <w:vAlign w:val="center"/>
          </w:tcPr>
          <w:p>
            <w:pPr>
              <w:widowControl/>
              <w:jc w:val="left"/>
              <w:rPr>
                <w:rFonts w:ascii="宋体" w:hAnsi="宋体" w:eastAsia="宋体"/>
                <w:color w:val="000000"/>
                <w:kern w:val="0"/>
                <w:sz w:val="20"/>
                <w:szCs w:val="20"/>
              </w:rPr>
            </w:pPr>
          </w:p>
        </w:tc>
        <w:tc>
          <w:tcPr>
            <w:tcW w:w="1060" w:type="dxa"/>
            <w:gridSpan w:val="2"/>
            <w:vMerge w:val="continue"/>
            <w:vAlign w:val="center"/>
          </w:tcPr>
          <w:p>
            <w:pPr>
              <w:widowControl/>
              <w:jc w:val="left"/>
              <w:rPr>
                <w:rFonts w:ascii="宋体" w:hAnsi="宋体" w:eastAsia="宋体"/>
                <w:color w:val="000000"/>
                <w:kern w:val="0"/>
                <w:sz w:val="20"/>
                <w:szCs w:val="20"/>
              </w:rPr>
            </w:pPr>
          </w:p>
        </w:tc>
        <w:tc>
          <w:tcPr>
            <w:tcW w:w="12415" w:type="dxa"/>
            <w:gridSpan w:val="6"/>
            <w:vAlign w:val="center"/>
          </w:tcPr>
          <w:p>
            <w:pPr>
              <w:spacing w:line="300" w:lineRule="exact"/>
              <w:ind w:firstLine="420"/>
              <w:jc w:val="center"/>
              <w:rPr>
                <w:rFonts w:ascii="宋体" w:hAnsi="宋体" w:eastAsia="宋体"/>
                <w:color w:val="000000"/>
                <w:kern w:val="0"/>
                <w:sz w:val="20"/>
                <w:szCs w:val="20"/>
              </w:rPr>
            </w:pPr>
            <w:r>
              <w:rPr>
                <w:rFonts w:hint="eastAsia" w:ascii="宋体" w:hAnsi="宋体" w:eastAsia="宋体"/>
                <w:color w:val="000000"/>
                <w:kern w:val="0"/>
                <w:sz w:val="20"/>
                <w:szCs w:val="20"/>
              </w:rPr>
              <w:t>非民用及其他附属设施补偿标准由对被征收房屋价值进行评估的同一评估机构评估确定。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2" w:hRule="atLeast"/>
          <w:jc w:val="center"/>
        </w:trPr>
        <w:tc>
          <w:tcPr>
            <w:tcW w:w="709" w:type="dxa"/>
            <w:vMerge w:val="continue"/>
            <w:vAlign w:val="center"/>
          </w:tcPr>
          <w:p>
            <w:pPr>
              <w:widowControl/>
              <w:jc w:val="left"/>
              <w:rPr>
                <w:rFonts w:ascii="宋体" w:hAnsi="宋体" w:eastAsia="宋体"/>
                <w:b/>
                <w:bCs/>
                <w:color w:val="000000"/>
                <w:kern w:val="0"/>
                <w:sz w:val="20"/>
                <w:szCs w:val="20"/>
              </w:rPr>
            </w:pPr>
          </w:p>
        </w:tc>
        <w:tc>
          <w:tcPr>
            <w:tcW w:w="425" w:type="dxa"/>
            <w:vAlign w:val="center"/>
          </w:tcPr>
          <w:p>
            <w:pPr>
              <w:spacing w:line="300" w:lineRule="exact"/>
              <w:jc w:val="center"/>
              <w:rPr>
                <w:rFonts w:ascii="宋体" w:hAnsi="宋体" w:eastAsia="宋体"/>
                <w:color w:val="000000"/>
                <w:kern w:val="0"/>
                <w:sz w:val="20"/>
                <w:szCs w:val="20"/>
              </w:rPr>
            </w:pPr>
            <w:r>
              <w:rPr>
                <w:rFonts w:hint="default" w:ascii="Times New Roman" w:hAnsi="Times New Roman" w:eastAsia="宋体" w:cs="Times New Roman"/>
                <w:color w:val="000000"/>
                <w:kern w:val="0"/>
                <w:sz w:val="20"/>
                <w:szCs w:val="20"/>
              </w:rPr>
              <w:t>4</w:t>
            </w:r>
          </w:p>
        </w:tc>
        <w:tc>
          <w:tcPr>
            <w:tcW w:w="2410" w:type="dxa"/>
            <w:gridSpan w:val="4"/>
            <w:vAlign w:val="center"/>
          </w:tcPr>
          <w:p>
            <w:pPr>
              <w:spacing w:line="300" w:lineRule="exact"/>
              <w:jc w:val="center"/>
              <w:rPr>
                <w:rFonts w:ascii="宋体" w:hAnsi="宋体" w:eastAsia="宋体"/>
                <w:color w:val="000000"/>
                <w:kern w:val="0"/>
                <w:sz w:val="20"/>
                <w:szCs w:val="20"/>
              </w:rPr>
            </w:pPr>
            <w:r>
              <w:rPr>
                <w:rFonts w:hint="eastAsia" w:ascii="宋体" w:hAnsi="宋体" w:eastAsia="宋体"/>
                <w:color w:val="000000"/>
                <w:kern w:val="0"/>
                <w:sz w:val="20"/>
                <w:szCs w:val="20"/>
              </w:rPr>
              <w:t>市场主体的设施设备</w:t>
            </w:r>
          </w:p>
        </w:tc>
        <w:tc>
          <w:tcPr>
            <w:tcW w:w="2773" w:type="dxa"/>
            <w:vAlign w:val="center"/>
          </w:tcPr>
          <w:p>
            <w:pPr>
              <w:spacing w:line="300" w:lineRule="exact"/>
              <w:jc w:val="left"/>
              <w:rPr>
                <w:rFonts w:ascii="宋体" w:hAnsi="宋体" w:eastAsia="宋体"/>
                <w:color w:val="000000"/>
                <w:kern w:val="0"/>
                <w:sz w:val="20"/>
                <w:szCs w:val="20"/>
              </w:rPr>
            </w:pPr>
            <w:r>
              <w:rPr>
                <w:rFonts w:hint="eastAsia" w:ascii="宋体" w:hAnsi="宋体" w:eastAsia="宋体"/>
                <w:color w:val="000000"/>
                <w:kern w:val="0"/>
                <w:sz w:val="20"/>
                <w:szCs w:val="20"/>
              </w:rPr>
              <w:t xml:space="preserve">    不丧失价值的，按折旧后净值的</w:t>
            </w:r>
            <w:r>
              <w:rPr>
                <w:rFonts w:hint="default" w:ascii="Times New Roman" w:hAnsi="Times New Roman" w:eastAsia="宋体" w:cs="Times New Roman"/>
                <w:color w:val="000000"/>
                <w:kern w:val="0"/>
                <w:sz w:val="20"/>
                <w:szCs w:val="20"/>
              </w:rPr>
              <w:t>10</w:t>
            </w:r>
            <w:r>
              <w:rPr>
                <w:rFonts w:hint="eastAsia" w:ascii="宋体" w:hAnsi="宋体" w:eastAsia="宋体"/>
                <w:color w:val="000000"/>
                <w:kern w:val="0"/>
                <w:sz w:val="20"/>
                <w:szCs w:val="20"/>
              </w:rPr>
              <w:t>%以上</w:t>
            </w:r>
            <w:r>
              <w:rPr>
                <w:rFonts w:hint="default" w:ascii="Times New Roman" w:hAnsi="Times New Roman" w:eastAsia="宋体" w:cs="Times New Roman"/>
                <w:color w:val="000000"/>
                <w:kern w:val="0"/>
                <w:sz w:val="20"/>
                <w:szCs w:val="20"/>
              </w:rPr>
              <w:t>20</w:t>
            </w:r>
            <w:r>
              <w:rPr>
                <w:rFonts w:hint="eastAsia" w:ascii="宋体" w:hAnsi="宋体" w:eastAsia="宋体"/>
                <w:color w:val="000000"/>
                <w:kern w:val="0"/>
                <w:sz w:val="20"/>
                <w:szCs w:val="20"/>
              </w:rPr>
              <w:t>%以下给予补偿。丧失价值的，按评估价值补偿。</w:t>
            </w:r>
          </w:p>
        </w:tc>
        <w:tc>
          <w:tcPr>
            <w:tcW w:w="8292" w:type="dxa"/>
            <w:gridSpan w:val="3"/>
            <w:vAlign w:val="center"/>
          </w:tcPr>
          <w:p>
            <w:pPr>
              <w:spacing w:line="300" w:lineRule="exact"/>
              <w:ind w:firstLine="420"/>
              <w:jc w:val="left"/>
              <w:rPr>
                <w:rFonts w:ascii="宋体" w:hAnsi="宋体" w:eastAsia="宋体"/>
                <w:color w:val="000000"/>
                <w:kern w:val="0"/>
                <w:sz w:val="20"/>
                <w:szCs w:val="20"/>
              </w:rPr>
            </w:pPr>
            <w:r>
              <w:rPr>
                <w:rFonts w:hint="default" w:ascii="Times New Roman" w:hAnsi="Times New Roman" w:eastAsia="宋体" w:cs="Times New Roman"/>
                <w:color w:val="000000"/>
                <w:kern w:val="0"/>
                <w:sz w:val="20"/>
                <w:szCs w:val="20"/>
              </w:rPr>
              <w:t>1</w:t>
            </w:r>
            <w:r>
              <w:rPr>
                <w:rFonts w:hint="eastAsia" w:ascii="宋体" w:hAnsi="宋体" w:eastAsia="宋体"/>
                <w:color w:val="000000"/>
                <w:kern w:val="0"/>
                <w:sz w:val="20"/>
                <w:szCs w:val="20"/>
              </w:rPr>
              <w:t>.除区房屋征收部门有专门要求外，补偿后的设施设备应</w:t>
            </w:r>
            <w:r>
              <w:rPr>
                <w:rFonts w:hint="eastAsia" w:ascii="宋体" w:hAnsi="宋体" w:eastAsia="宋体"/>
                <w:color w:val="000000"/>
                <w:kern w:val="0"/>
                <w:sz w:val="20"/>
                <w:szCs w:val="20"/>
              </w:rPr>
              <w:softHyphen/>
            </w:r>
            <w:r>
              <w:rPr>
                <w:rFonts w:hint="eastAsia" w:ascii="宋体" w:hAnsi="宋体" w:eastAsia="宋体"/>
                <w:color w:val="000000"/>
                <w:kern w:val="0"/>
                <w:sz w:val="20"/>
                <w:szCs w:val="20"/>
              </w:rPr>
              <w:softHyphen/>
            </w:r>
            <w:r>
              <w:rPr>
                <w:rFonts w:hint="eastAsia" w:ascii="宋体" w:hAnsi="宋体" w:eastAsia="宋体"/>
                <w:color w:val="000000"/>
                <w:kern w:val="0"/>
                <w:sz w:val="20"/>
                <w:szCs w:val="20"/>
              </w:rPr>
              <w:softHyphen/>
            </w:r>
            <w:r>
              <w:rPr>
                <w:rFonts w:hint="eastAsia" w:ascii="宋体" w:hAnsi="宋体" w:eastAsia="宋体"/>
                <w:color w:val="000000"/>
                <w:kern w:val="0"/>
                <w:sz w:val="20"/>
                <w:szCs w:val="20"/>
              </w:rPr>
              <w:t>由被征收人自行拆除、搬离。</w:t>
            </w:r>
          </w:p>
          <w:p>
            <w:pPr>
              <w:spacing w:line="300" w:lineRule="exact"/>
              <w:ind w:firstLine="420"/>
              <w:jc w:val="left"/>
              <w:rPr>
                <w:rFonts w:ascii="宋体" w:hAnsi="宋体" w:eastAsia="宋体"/>
                <w:color w:val="000000"/>
                <w:kern w:val="0"/>
                <w:sz w:val="20"/>
                <w:szCs w:val="20"/>
              </w:rPr>
            </w:pPr>
            <w:r>
              <w:rPr>
                <w:rFonts w:hint="default" w:ascii="Times New Roman" w:hAnsi="Times New Roman" w:eastAsia="宋体" w:cs="Times New Roman"/>
                <w:color w:val="000000"/>
                <w:kern w:val="0"/>
                <w:sz w:val="20"/>
                <w:szCs w:val="20"/>
              </w:rPr>
              <w:t>2</w:t>
            </w:r>
            <w:r>
              <w:rPr>
                <w:rFonts w:hint="eastAsia" w:ascii="宋体" w:hAnsi="宋体" w:eastAsia="宋体"/>
                <w:color w:val="000000"/>
                <w:kern w:val="0"/>
                <w:sz w:val="20"/>
                <w:szCs w:val="20"/>
              </w:rPr>
              <w:t>.对设施设备进行评估的，企业等市场主体应当提供设施设备购置及其品牌、编号等相关凭据。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jc w:val="center"/>
        </w:trPr>
        <w:tc>
          <w:tcPr>
            <w:tcW w:w="709" w:type="dxa"/>
            <w:vMerge w:val="restart"/>
            <w:vAlign w:val="center"/>
          </w:tcPr>
          <w:p>
            <w:pPr>
              <w:spacing w:line="300" w:lineRule="exact"/>
              <w:jc w:val="center"/>
              <w:rPr>
                <w:rFonts w:ascii="宋体" w:hAnsi="宋体" w:eastAsia="宋体"/>
                <w:b/>
                <w:bCs/>
                <w:color w:val="000000"/>
                <w:kern w:val="0"/>
                <w:sz w:val="20"/>
                <w:szCs w:val="20"/>
              </w:rPr>
            </w:pPr>
            <w:r>
              <w:rPr>
                <w:rFonts w:hint="eastAsia" w:ascii="宋体" w:hAnsi="宋体" w:eastAsia="宋体"/>
                <w:b/>
                <w:bCs/>
                <w:color w:val="000000"/>
                <w:kern w:val="0"/>
                <w:sz w:val="20"/>
                <w:szCs w:val="20"/>
              </w:rPr>
              <w:t>奖励补助</w:t>
            </w:r>
          </w:p>
        </w:tc>
        <w:tc>
          <w:tcPr>
            <w:tcW w:w="425" w:type="dxa"/>
            <w:vMerge w:val="restart"/>
            <w:vAlign w:val="center"/>
          </w:tcPr>
          <w:p>
            <w:pPr>
              <w:spacing w:line="300" w:lineRule="exact"/>
              <w:jc w:val="center"/>
              <w:rPr>
                <w:rFonts w:ascii="宋体" w:hAnsi="宋体" w:eastAsia="宋体"/>
                <w:color w:val="000000"/>
                <w:kern w:val="0"/>
                <w:sz w:val="20"/>
                <w:szCs w:val="20"/>
              </w:rPr>
            </w:pPr>
            <w:r>
              <w:rPr>
                <w:rFonts w:hint="default" w:ascii="Times New Roman" w:hAnsi="Times New Roman" w:eastAsia="宋体" w:cs="Times New Roman"/>
                <w:color w:val="000000"/>
                <w:kern w:val="0"/>
                <w:sz w:val="20"/>
                <w:szCs w:val="20"/>
              </w:rPr>
              <w:t>5</w:t>
            </w:r>
          </w:p>
        </w:tc>
        <w:tc>
          <w:tcPr>
            <w:tcW w:w="1027" w:type="dxa"/>
            <w:vMerge w:val="restart"/>
            <w:vAlign w:val="center"/>
          </w:tcPr>
          <w:p>
            <w:pPr>
              <w:spacing w:line="300" w:lineRule="exact"/>
              <w:jc w:val="center"/>
              <w:rPr>
                <w:rFonts w:ascii="宋体" w:hAnsi="宋体" w:eastAsia="宋体"/>
                <w:color w:val="000000"/>
                <w:kern w:val="0"/>
                <w:sz w:val="20"/>
                <w:szCs w:val="20"/>
              </w:rPr>
            </w:pPr>
            <w:r>
              <w:rPr>
                <w:rFonts w:hint="eastAsia" w:ascii="宋体" w:hAnsi="宋体" w:eastAsia="宋体"/>
                <w:color w:val="000000"/>
                <w:kern w:val="0"/>
                <w:sz w:val="20"/>
                <w:szCs w:val="20"/>
              </w:rPr>
              <w:t>补偿方式选择的引导奖励</w:t>
            </w:r>
          </w:p>
        </w:tc>
        <w:tc>
          <w:tcPr>
            <w:tcW w:w="1383" w:type="dxa"/>
            <w:gridSpan w:val="3"/>
            <w:vMerge w:val="restart"/>
            <w:vAlign w:val="center"/>
          </w:tcPr>
          <w:p>
            <w:pPr>
              <w:spacing w:line="300" w:lineRule="exact"/>
              <w:jc w:val="center"/>
              <w:rPr>
                <w:rFonts w:ascii="宋体" w:hAnsi="宋体" w:eastAsia="宋体"/>
                <w:color w:val="000000"/>
                <w:kern w:val="0"/>
                <w:sz w:val="20"/>
                <w:szCs w:val="20"/>
              </w:rPr>
            </w:pPr>
            <w:r>
              <w:rPr>
                <w:rFonts w:hint="eastAsia" w:ascii="宋体" w:hAnsi="宋体" w:eastAsia="宋体"/>
                <w:color w:val="000000"/>
                <w:kern w:val="0"/>
                <w:sz w:val="20"/>
                <w:szCs w:val="20"/>
              </w:rPr>
              <w:t>住宅</w:t>
            </w:r>
          </w:p>
        </w:tc>
        <w:tc>
          <w:tcPr>
            <w:tcW w:w="2773" w:type="dxa"/>
            <w:vAlign w:val="center"/>
          </w:tcPr>
          <w:p>
            <w:pPr>
              <w:spacing w:line="300" w:lineRule="exact"/>
              <w:ind w:firstLine="420"/>
              <w:rPr>
                <w:rFonts w:ascii="宋体" w:hAnsi="宋体" w:eastAsia="宋体"/>
                <w:color w:val="000000"/>
                <w:kern w:val="0"/>
                <w:sz w:val="20"/>
                <w:szCs w:val="20"/>
              </w:rPr>
            </w:pPr>
            <w:r>
              <w:rPr>
                <w:rFonts w:hint="eastAsia" w:ascii="宋体" w:hAnsi="宋体" w:eastAsia="宋体"/>
                <w:color w:val="000000"/>
                <w:kern w:val="0"/>
                <w:sz w:val="20"/>
                <w:szCs w:val="20"/>
              </w:rPr>
              <w:t xml:space="preserve">每户按不高于被征收房屋评估价值的 </w:t>
            </w:r>
            <w:r>
              <w:rPr>
                <w:rFonts w:hint="default" w:ascii="Times New Roman" w:hAnsi="Times New Roman" w:eastAsia="宋体" w:cs="Times New Roman"/>
                <w:color w:val="000000"/>
                <w:kern w:val="0"/>
                <w:sz w:val="20"/>
                <w:szCs w:val="20"/>
              </w:rPr>
              <w:t>12</w:t>
            </w:r>
            <w:r>
              <w:rPr>
                <w:rFonts w:hint="eastAsia" w:ascii="宋体" w:hAnsi="宋体" w:eastAsia="宋体"/>
                <w:color w:val="000000"/>
                <w:kern w:val="0"/>
                <w:sz w:val="20"/>
                <w:szCs w:val="20"/>
              </w:rPr>
              <w:t>%。</w:t>
            </w:r>
          </w:p>
        </w:tc>
        <w:tc>
          <w:tcPr>
            <w:tcW w:w="4249" w:type="dxa"/>
            <w:gridSpan w:val="2"/>
            <w:vAlign w:val="center"/>
          </w:tcPr>
          <w:p>
            <w:pPr>
              <w:spacing w:line="300" w:lineRule="exact"/>
              <w:ind w:firstLine="420"/>
              <w:rPr>
                <w:rFonts w:ascii="宋体" w:hAnsi="宋体" w:eastAsia="宋体"/>
                <w:color w:val="000000"/>
                <w:kern w:val="0"/>
                <w:sz w:val="20"/>
                <w:szCs w:val="20"/>
              </w:rPr>
            </w:pPr>
          </w:p>
        </w:tc>
        <w:tc>
          <w:tcPr>
            <w:tcW w:w="4043" w:type="dxa"/>
            <w:vMerge w:val="restart"/>
            <w:vAlign w:val="center"/>
          </w:tcPr>
          <w:p>
            <w:pPr>
              <w:spacing w:line="300" w:lineRule="exact"/>
              <w:ind w:firstLine="420"/>
              <w:rPr>
                <w:rFonts w:ascii="宋体" w:hAnsi="宋体" w:eastAsia="宋体"/>
                <w:color w:val="000000"/>
                <w:kern w:val="0"/>
                <w:sz w:val="20"/>
                <w:szCs w:val="20"/>
              </w:rPr>
            </w:pPr>
            <w:r>
              <w:rPr>
                <w:rFonts w:hint="eastAsia" w:ascii="宋体" w:hAnsi="宋体" w:eastAsia="宋体"/>
                <w:color w:val="000000"/>
                <w:kern w:val="0"/>
                <w:sz w:val="20"/>
                <w:szCs w:val="20"/>
              </w:rPr>
              <w:t>同一产权房屋中既有住宅又有非住宅的，分别计算奖励。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3" w:hRule="atLeast"/>
          <w:jc w:val="center"/>
        </w:trPr>
        <w:tc>
          <w:tcPr>
            <w:tcW w:w="709" w:type="dxa"/>
            <w:vMerge w:val="continue"/>
            <w:vAlign w:val="center"/>
          </w:tcPr>
          <w:p>
            <w:pPr>
              <w:widowControl/>
              <w:jc w:val="left"/>
              <w:rPr>
                <w:rFonts w:ascii="宋体" w:hAnsi="宋体" w:eastAsia="宋体"/>
                <w:b/>
                <w:bCs/>
                <w:color w:val="000000"/>
                <w:kern w:val="0"/>
                <w:sz w:val="20"/>
                <w:szCs w:val="20"/>
              </w:rPr>
            </w:pPr>
          </w:p>
        </w:tc>
        <w:tc>
          <w:tcPr>
            <w:tcW w:w="425" w:type="dxa"/>
            <w:vMerge w:val="continue"/>
            <w:vAlign w:val="center"/>
          </w:tcPr>
          <w:p>
            <w:pPr>
              <w:widowControl/>
              <w:jc w:val="left"/>
              <w:rPr>
                <w:rFonts w:ascii="宋体" w:hAnsi="宋体" w:eastAsia="宋体"/>
                <w:color w:val="000000"/>
                <w:kern w:val="0"/>
                <w:sz w:val="20"/>
                <w:szCs w:val="20"/>
              </w:rPr>
            </w:pPr>
          </w:p>
        </w:tc>
        <w:tc>
          <w:tcPr>
            <w:tcW w:w="1027" w:type="dxa"/>
            <w:vMerge w:val="continue"/>
            <w:vAlign w:val="center"/>
          </w:tcPr>
          <w:p>
            <w:pPr>
              <w:widowControl/>
              <w:jc w:val="left"/>
              <w:rPr>
                <w:rFonts w:ascii="宋体" w:hAnsi="宋体" w:eastAsia="宋体"/>
                <w:color w:val="000000"/>
                <w:kern w:val="0"/>
                <w:sz w:val="20"/>
                <w:szCs w:val="20"/>
              </w:rPr>
            </w:pPr>
          </w:p>
        </w:tc>
        <w:tc>
          <w:tcPr>
            <w:tcW w:w="1383" w:type="dxa"/>
            <w:gridSpan w:val="3"/>
            <w:vMerge w:val="continue"/>
            <w:vAlign w:val="center"/>
          </w:tcPr>
          <w:p>
            <w:pPr>
              <w:widowControl/>
              <w:jc w:val="left"/>
              <w:rPr>
                <w:rFonts w:ascii="宋体" w:hAnsi="宋体" w:eastAsia="宋体"/>
                <w:color w:val="000000"/>
                <w:kern w:val="0"/>
                <w:sz w:val="20"/>
                <w:szCs w:val="20"/>
              </w:rPr>
            </w:pPr>
          </w:p>
        </w:tc>
        <w:tc>
          <w:tcPr>
            <w:tcW w:w="2773" w:type="dxa"/>
            <w:vAlign w:val="center"/>
          </w:tcPr>
          <w:p>
            <w:pPr>
              <w:spacing w:line="300" w:lineRule="exact"/>
              <w:ind w:firstLine="420"/>
              <w:rPr>
                <w:rFonts w:ascii="宋体" w:hAnsi="宋体" w:eastAsia="宋体"/>
                <w:color w:val="000000"/>
                <w:kern w:val="0"/>
                <w:sz w:val="20"/>
                <w:szCs w:val="20"/>
              </w:rPr>
            </w:pPr>
            <w:r>
              <w:rPr>
                <w:rFonts w:hint="eastAsia" w:ascii="宋体" w:hAnsi="宋体" w:eastAsia="宋体"/>
                <w:color w:val="000000"/>
                <w:kern w:val="0"/>
                <w:sz w:val="20"/>
                <w:szCs w:val="20"/>
              </w:rPr>
              <w:t>每户给予不高于</w:t>
            </w:r>
            <w:r>
              <w:rPr>
                <w:rFonts w:hint="default" w:ascii="Times New Roman" w:hAnsi="Times New Roman" w:eastAsia="宋体" w:cs="Times New Roman"/>
                <w:color w:val="000000"/>
                <w:kern w:val="0"/>
                <w:sz w:val="20"/>
                <w:szCs w:val="20"/>
              </w:rPr>
              <w:t>5</w:t>
            </w:r>
            <w:r>
              <w:rPr>
                <w:rFonts w:hint="eastAsia" w:ascii="宋体" w:hAnsi="宋体" w:eastAsia="宋体"/>
                <w:color w:val="000000"/>
                <w:kern w:val="0"/>
                <w:sz w:val="20"/>
                <w:szCs w:val="20"/>
              </w:rPr>
              <w:t>平方米的被征收房屋评估价值奖励。</w:t>
            </w:r>
          </w:p>
        </w:tc>
        <w:tc>
          <w:tcPr>
            <w:tcW w:w="4249" w:type="dxa"/>
            <w:gridSpan w:val="2"/>
            <w:vAlign w:val="center"/>
          </w:tcPr>
          <w:p>
            <w:pPr>
              <w:spacing w:line="300" w:lineRule="exact"/>
              <w:ind w:firstLine="300" w:firstLineChars="150"/>
              <w:rPr>
                <w:rFonts w:ascii="宋体" w:hAnsi="宋体" w:eastAsia="宋体"/>
                <w:color w:val="000000"/>
                <w:kern w:val="0"/>
                <w:sz w:val="20"/>
                <w:szCs w:val="20"/>
              </w:rPr>
            </w:pPr>
            <w:r>
              <w:rPr>
                <w:rFonts w:hint="eastAsia" w:ascii="宋体" w:hAnsi="宋体" w:eastAsia="宋体"/>
                <w:color w:val="000000"/>
                <w:kern w:val="0"/>
                <w:sz w:val="20"/>
                <w:szCs w:val="20"/>
              </w:rPr>
              <w:t>在规定的签约期限内签约并在协议约定的期限内完成搬迁，或者在规定的签约期限内主动搬迁。</w:t>
            </w:r>
          </w:p>
        </w:tc>
        <w:tc>
          <w:tcPr>
            <w:tcW w:w="4043" w:type="dxa"/>
            <w:vMerge w:val="continue"/>
            <w:vAlign w:val="center"/>
          </w:tcPr>
          <w:p>
            <w:pPr>
              <w:widowControl/>
              <w:jc w:val="left"/>
              <w:rPr>
                <w:rFonts w:ascii="宋体" w:hAnsi="宋体" w:eastAsia="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709" w:type="dxa"/>
            <w:vMerge w:val="continue"/>
            <w:vAlign w:val="center"/>
          </w:tcPr>
          <w:p>
            <w:pPr>
              <w:widowControl/>
              <w:jc w:val="left"/>
              <w:rPr>
                <w:rFonts w:ascii="宋体" w:hAnsi="宋体" w:eastAsia="宋体"/>
                <w:b/>
                <w:bCs/>
                <w:color w:val="000000"/>
                <w:kern w:val="0"/>
                <w:sz w:val="20"/>
                <w:szCs w:val="20"/>
              </w:rPr>
            </w:pPr>
          </w:p>
        </w:tc>
        <w:tc>
          <w:tcPr>
            <w:tcW w:w="425" w:type="dxa"/>
            <w:vMerge w:val="continue"/>
            <w:vAlign w:val="center"/>
          </w:tcPr>
          <w:p>
            <w:pPr>
              <w:widowControl/>
              <w:jc w:val="left"/>
              <w:rPr>
                <w:rFonts w:ascii="宋体" w:hAnsi="宋体" w:eastAsia="宋体"/>
                <w:color w:val="000000"/>
                <w:kern w:val="0"/>
                <w:sz w:val="20"/>
                <w:szCs w:val="20"/>
              </w:rPr>
            </w:pPr>
          </w:p>
        </w:tc>
        <w:tc>
          <w:tcPr>
            <w:tcW w:w="1027" w:type="dxa"/>
            <w:vMerge w:val="continue"/>
            <w:vAlign w:val="center"/>
          </w:tcPr>
          <w:p>
            <w:pPr>
              <w:widowControl/>
              <w:jc w:val="left"/>
              <w:rPr>
                <w:rFonts w:ascii="宋体" w:hAnsi="宋体" w:eastAsia="宋体"/>
                <w:color w:val="000000"/>
                <w:kern w:val="0"/>
                <w:sz w:val="20"/>
                <w:szCs w:val="20"/>
              </w:rPr>
            </w:pPr>
          </w:p>
        </w:tc>
        <w:tc>
          <w:tcPr>
            <w:tcW w:w="1383" w:type="dxa"/>
            <w:gridSpan w:val="3"/>
            <w:vAlign w:val="center"/>
          </w:tcPr>
          <w:p>
            <w:pPr>
              <w:spacing w:line="300" w:lineRule="exact"/>
              <w:jc w:val="center"/>
              <w:rPr>
                <w:rFonts w:ascii="宋体" w:hAnsi="宋体" w:eastAsia="宋体"/>
                <w:color w:val="000000"/>
                <w:kern w:val="0"/>
                <w:sz w:val="20"/>
                <w:szCs w:val="20"/>
              </w:rPr>
            </w:pPr>
            <w:r>
              <w:rPr>
                <w:rFonts w:hint="eastAsia" w:ascii="宋体" w:hAnsi="宋体" w:eastAsia="宋体"/>
                <w:color w:val="000000"/>
                <w:kern w:val="0"/>
                <w:sz w:val="20"/>
                <w:szCs w:val="20"/>
              </w:rPr>
              <w:t>非住宅</w:t>
            </w:r>
          </w:p>
        </w:tc>
        <w:tc>
          <w:tcPr>
            <w:tcW w:w="2773" w:type="dxa"/>
            <w:vAlign w:val="center"/>
          </w:tcPr>
          <w:p>
            <w:pPr>
              <w:spacing w:line="300" w:lineRule="exact"/>
              <w:ind w:firstLine="420"/>
              <w:rPr>
                <w:rFonts w:ascii="宋体" w:hAnsi="宋体" w:eastAsia="宋体"/>
                <w:color w:val="000000"/>
                <w:kern w:val="0"/>
                <w:sz w:val="20"/>
                <w:szCs w:val="20"/>
              </w:rPr>
            </w:pPr>
            <w:r>
              <w:rPr>
                <w:rFonts w:hint="eastAsia" w:ascii="宋体" w:hAnsi="宋体" w:eastAsia="宋体"/>
                <w:color w:val="000000"/>
                <w:kern w:val="0"/>
                <w:sz w:val="20"/>
                <w:szCs w:val="20"/>
              </w:rPr>
              <w:t>每户按不高于被征收房屋评估价值的</w:t>
            </w:r>
            <w:r>
              <w:rPr>
                <w:rFonts w:hint="default" w:ascii="Times New Roman" w:hAnsi="Times New Roman" w:eastAsia="宋体" w:cs="Times New Roman"/>
                <w:color w:val="000000"/>
                <w:kern w:val="0"/>
                <w:sz w:val="20"/>
                <w:szCs w:val="20"/>
              </w:rPr>
              <w:t>5</w:t>
            </w:r>
            <w:r>
              <w:rPr>
                <w:rFonts w:hint="eastAsia" w:ascii="宋体" w:hAnsi="宋体" w:eastAsia="宋体"/>
                <w:color w:val="000000"/>
                <w:kern w:val="0"/>
                <w:sz w:val="20"/>
                <w:szCs w:val="20"/>
              </w:rPr>
              <w:t>%。</w:t>
            </w:r>
          </w:p>
        </w:tc>
        <w:tc>
          <w:tcPr>
            <w:tcW w:w="4249" w:type="dxa"/>
            <w:gridSpan w:val="2"/>
            <w:vAlign w:val="center"/>
          </w:tcPr>
          <w:p>
            <w:pPr>
              <w:spacing w:line="300" w:lineRule="exact"/>
              <w:ind w:firstLine="300" w:firstLineChars="150"/>
              <w:rPr>
                <w:rFonts w:ascii="宋体" w:hAnsi="宋体" w:eastAsia="宋体"/>
                <w:color w:val="000000"/>
                <w:kern w:val="0"/>
                <w:sz w:val="20"/>
                <w:szCs w:val="20"/>
                <w:highlight w:val="yellow"/>
              </w:rPr>
            </w:pPr>
          </w:p>
        </w:tc>
        <w:tc>
          <w:tcPr>
            <w:tcW w:w="4043" w:type="dxa"/>
            <w:vMerge w:val="continue"/>
            <w:vAlign w:val="center"/>
          </w:tcPr>
          <w:p>
            <w:pPr>
              <w:widowControl/>
              <w:jc w:val="left"/>
              <w:rPr>
                <w:rFonts w:ascii="宋体" w:hAnsi="宋体" w:eastAsia="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jc w:val="center"/>
        </w:trPr>
        <w:tc>
          <w:tcPr>
            <w:tcW w:w="709" w:type="dxa"/>
            <w:vMerge w:val="continue"/>
            <w:vAlign w:val="center"/>
          </w:tcPr>
          <w:p>
            <w:pPr>
              <w:widowControl/>
              <w:jc w:val="left"/>
              <w:rPr>
                <w:rFonts w:ascii="宋体" w:hAnsi="宋体" w:eastAsia="宋体"/>
                <w:b/>
                <w:bCs/>
                <w:color w:val="000000"/>
                <w:kern w:val="0"/>
                <w:sz w:val="20"/>
                <w:szCs w:val="20"/>
              </w:rPr>
            </w:pPr>
          </w:p>
        </w:tc>
        <w:tc>
          <w:tcPr>
            <w:tcW w:w="425" w:type="dxa"/>
            <w:vMerge w:val="restart"/>
            <w:vAlign w:val="center"/>
          </w:tcPr>
          <w:p>
            <w:pPr>
              <w:spacing w:line="300" w:lineRule="exact"/>
              <w:jc w:val="center"/>
              <w:rPr>
                <w:rFonts w:ascii="宋体" w:hAnsi="宋体" w:eastAsia="宋体"/>
                <w:color w:val="000000"/>
                <w:kern w:val="0"/>
                <w:sz w:val="20"/>
                <w:szCs w:val="20"/>
              </w:rPr>
            </w:pPr>
            <w:r>
              <w:rPr>
                <w:rFonts w:hint="default" w:ascii="Times New Roman" w:hAnsi="Times New Roman" w:eastAsia="宋体" w:cs="Times New Roman"/>
                <w:color w:val="000000"/>
                <w:kern w:val="0"/>
                <w:sz w:val="20"/>
                <w:szCs w:val="20"/>
              </w:rPr>
              <w:t>6</w:t>
            </w:r>
          </w:p>
        </w:tc>
        <w:tc>
          <w:tcPr>
            <w:tcW w:w="1027" w:type="dxa"/>
            <w:vMerge w:val="restart"/>
            <w:vAlign w:val="center"/>
          </w:tcPr>
          <w:p>
            <w:pPr>
              <w:spacing w:line="300" w:lineRule="exact"/>
              <w:jc w:val="center"/>
              <w:rPr>
                <w:rFonts w:ascii="宋体" w:hAnsi="宋体" w:eastAsia="宋体"/>
                <w:color w:val="000000"/>
                <w:kern w:val="0"/>
                <w:sz w:val="20"/>
                <w:szCs w:val="20"/>
              </w:rPr>
            </w:pPr>
            <w:r>
              <w:rPr>
                <w:rFonts w:hint="eastAsia" w:ascii="宋体" w:hAnsi="宋体" w:eastAsia="宋体"/>
                <w:color w:val="000000"/>
                <w:kern w:val="0"/>
                <w:sz w:val="20"/>
                <w:szCs w:val="20"/>
              </w:rPr>
              <w:t>单户提前签约奖励</w:t>
            </w:r>
          </w:p>
        </w:tc>
        <w:tc>
          <w:tcPr>
            <w:tcW w:w="1383" w:type="dxa"/>
            <w:gridSpan w:val="3"/>
            <w:vAlign w:val="center"/>
          </w:tcPr>
          <w:p>
            <w:pPr>
              <w:spacing w:line="300" w:lineRule="exact"/>
              <w:jc w:val="center"/>
              <w:rPr>
                <w:rFonts w:ascii="宋体" w:hAnsi="宋体" w:eastAsia="宋体"/>
                <w:color w:val="000000"/>
                <w:kern w:val="0"/>
                <w:sz w:val="20"/>
                <w:szCs w:val="20"/>
              </w:rPr>
            </w:pPr>
            <w:r>
              <w:rPr>
                <w:rFonts w:hint="eastAsia" w:ascii="宋体" w:hAnsi="宋体" w:eastAsia="宋体"/>
                <w:color w:val="000000"/>
                <w:kern w:val="0"/>
                <w:sz w:val="20"/>
                <w:szCs w:val="20"/>
              </w:rPr>
              <w:t>住宅</w:t>
            </w:r>
          </w:p>
        </w:tc>
        <w:tc>
          <w:tcPr>
            <w:tcW w:w="2773" w:type="dxa"/>
            <w:vAlign w:val="center"/>
          </w:tcPr>
          <w:p>
            <w:pPr>
              <w:spacing w:line="300" w:lineRule="exact"/>
              <w:jc w:val="center"/>
              <w:rPr>
                <w:rFonts w:ascii="宋体" w:hAnsi="宋体" w:eastAsia="宋体"/>
                <w:color w:val="000000"/>
                <w:kern w:val="0"/>
                <w:sz w:val="20"/>
                <w:szCs w:val="20"/>
              </w:rPr>
            </w:pPr>
            <w:r>
              <w:rPr>
                <w:rFonts w:hint="default" w:ascii="Times New Roman" w:hAnsi="Times New Roman" w:eastAsia="宋体" w:cs="Times New Roman"/>
                <w:color w:val="000000"/>
                <w:kern w:val="0"/>
                <w:sz w:val="20"/>
                <w:szCs w:val="20"/>
              </w:rPr>
              <w:t>500</w:t>
            </w:r>
            <w:r>
              <w:rPr>
                <w:rFonts w:hint="eastAsia" w:ascii="宋体" w:hAnsi="宋体" w:eastAsia="宋体"/>
                <w:color w:val="000000"/>
                <w:kern w:val="0"/>
                <w:sz w:val="20"/>
                <w:szCs w:val="20"/>
              </w:rPr>
              <w:t>元/户·日</w:t>
            </w:r>
          </w:p>
        </w:tc>
        <w:tc>
          <w:tcPr>
            <w:tcW w:w="8292" w:type="dxa"/>
            <w:gridSpan w:val="3"/>
            <w:vMerge w:val="restart"/>
            <w:vAlign w:val="center"/>
          </w:tcPr>
          <w:p>
            <w:pPr>
              <w:spacing w:line="300" w:lineRule="exact"/>
              <w:ind w:firstLine="420"/>
              <w:rPr>
                <w:rFonts w:ascii="宋体" w:hAnsi="宋体" w:eastAsia="宋体"/>
                <w:color w:val="000000"/>
                <w:kern w:val="0"/>
                <w:sz w:val="20"/>
                <w:szCs w:val="20"/>
              </w:rPr>
            </w:pPr>
            <w:r>
              <w:rPr>
                <w:rFonts w:hint="default" w:ascii="Times New Roman" w:hAnsi="Times New Roman" w:eastAsia="宋体" w:cs="Times New Roman"/>
                <w:kern w:val="0"/>
                <w:sz w:val="20"/>
                <w:szCs w:val="20"/>
              </w:rPr>
              <w:t>1</w:t>
            </w:r>
            <w:r>
              <w:rPr>
                <w:rFonts w:hint="eastAsia" w:ascii="宋体" w:hAnsi="宋体" w:eastAsia="宋体"/>
                <w:kern w:val="0"/>
                <w:sz w:val="20"/>
                <w:szCs w:val="20"/>
              </w:rPr>
              <w:t>.提前天数自签约之日起计算，截止签约期限届满之日，</w:t>
            </w:r>
            <w:r>
              <w:rPr>
                <w:rFonts w:hint="eastAsia" w:ascii="宋体" w:hAnsi="宋体" w:eastAsia="宋体"/>
                <w:color w:val="000000"/>
                <w:kern w:val="0"/>
                <w:sz w:val="20"/>
                <w:szCs w:val="20"/>
              </w:rPr>
              <w:t>最高不超过规定的签约期限。</w:t>
            </w:r>
          </w:p>
          <w:p>
            <w:pPr>
              <w:spacing w:line="300" w:lineRule="exact"/>
              <w:ind w:firstLine="420"/>
              <w:rPr>
                <w:rFonts w:ascii="宋体" w:hAnsi="宋体" w:eastAsia="宋体"/>
                <w:color w:val="000000"/>
                <w:kern w:val="0"/>
                <w:sz w:val="20"/>
                <w:szCs w:val="20"/>
              </w:rPr>
            </w:pPr>
            <w:r>
              <w:rPr>
                <w:rFonts w:hint="default" w:ascii="Times New Roman" w:hAnsi="Times New Roman" w:eastAsia="宋体" w:cs="Times New Roman"/>
                <w:kern w:val="0"/>
                <w:sz w:val="20"/>
                <w:szCs w:val="20"/>
              </w:rPr>
              <w:t>2</w:t>
            </w:r>
            <w:r>
              <w:rPr>
                <w:rFonts w:hint="eastAsia" w:ascii="宋体" w:hAnsi="宋体" w:eastAsia="宋体"/>
                <w:kern w:val="0"/>
                <w:sz w:val="20"/>
                <w:szCs w:val="20"/>
              </w:rPr>
              <w:t>.同一产权房屋中既有住宅又有非住宅的，单户提前签约奖励分别计算。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709" w:type="dxa"/>
            <w:vMerge w:val="continue"/>
            <w:vAlign w:val="center"/>
          </w:tcPr>
          <w:p>
            <w:pPr>
              <w:widowControl/>
              <w:jc w:val="left"/>
              <w:rPr>
                <w:rFonts w:ascii="宋体" w:hAnsi="宋体" w:eastAsia="宋体"/>
                <w:b/>
                <w:bCs/>
                <w:color w:val="000000"/>
                <w:kern w:val="0"/>
                <w:sz w:val="20"/>
                <w:szCs w:val="20"/>
              </w:rPr>
            </w:pPr>
          </w:p>
        </w:tc>
        <w:tc>
          <w:tcPr>
            <w:tcW w:w="425" w:type="dxa"/>
            <w:vMerge w:val="continue"/>
            <w:vAlign w:val="center"/>
          </w:tcPr>
          <w:p>
            <w:pPr>
              <w:widowControl/>
              <w:jc w:val="left"/>
              <w:rPr>
                <w:rFonts w:ascii="宋体" w:hAnsi="宋体" w:eastAsia="宋体"/>
                <w:color w:val="000000"/>
                <w:kern w:val="0"/>
                <w:sz w:val="20"/>
                <w:szCs w:val="20"/>
              </w:rPr>
            </w:pPr>
          </w:p>
        </w:tc>
        <w:tc>
          <w:tcPr>
            <w:tcW w:w="1027" w:type="dxa"/>
            <w:vMerge w:val="continue"/>
            <w:vAlign w:val="center"/>
          </w:tcPr>
          <w:p>
            <w:pPr>
              <w:widowControl/>
              <w:jc w:val="left"/>
              <w:rPr>
                <w:rFonts w:ascii="宋体" w:hAnsi="宋体" w:eastAsia="宋体"/>
                <w:color w:val="000000"/>
                <w:kern w:val="0"/>
                <w:sz w:val="20"/>
                <w:szCs w:val="20"/>
              </w:rPr>
            </w:pPr>
          </w:p>
        </w:tc>
        <w:tc>
          <w:tcPr>
            <w:tcW w:w="1383" w:type="dxa"/>
            <w:gridSpan w:val="3"/>
            <w:vAlign w:val="center"/>
          </w:tcPr>
          <w:p>
            <w:pPr>
              <w:spacing w:line="300" w:lineRule="exact"/>
              <w:jc w:val="center"/>
              <w:rPr>
                <w:rFonts w:ascii="宋体" w:hAnsi="宋体" w:eastAsia="宋体"/>
                <w:color w:val="000000"/>
                <w:kern w:val="0"/>
                <w:sz w:val="20"/>
                <w:szCs w:val="20"/>
              </w:rPr>
            </w:pPr>
            <w:r>
              <w:rPr>
                <w:rFonts w:hint="eastAsia" w:ascii="宋体" w:hAnsi="宋体" w:eastAsia="宋体"/>
                <w:color w:val="000000"/>
                <w:kern w:val="0"/>
                <w:sz w:val="20"/>
                <w:szCs w:val="20"/>
              </w:rPr>
              <w:t>非住宅</w:t>
            </w:r>
          </w:p>
        </w:tc>
        <w:tc>
          <w:tcPr>
            <w:tcW w:w="2773" w:type="dxa"/>
            <w:vAlign w:val="center"/>
          </w:tcPr>
          <w:p>
            <w:pPr>
              <w:spacing w:line="300" w:lineRule="exact"/>
              <w:jc w:val="center"/>
              <w:rPr>
                <w:rFonts w:ascii="宋体" w:hAnsi="宋体" w:eastAsia="宋体"/>
                <w:color w:val="000000"/>
                <w:kern w:val="0"/>
                <w:sz w:val="20"/>
                <w:szCs w:val="20"/>
              </w:rPr>
            </w:pPr>
            <w:r>
              <w:rPr>
                <w:rFonts w:hint="default" w:ascii="Times New Roman" w:hAnsi="Times New Roman" w:eastAsia="宋体" w:cs="Times New Roman"/>
                <w:color w:val="000000"/>
                <w:kern w:val="0"/>
                <w:sz w:val="20"/>
                <w:szCs w:val="20"/>
              </w:rPr>
              <w:t>20</w:t>
            </w:r>
            <w:r>
              <w:rPr>
                <w:rFonts w:hint="eastAsia" w:ascii="宋体" w:hAnsi="宋体" w:eastAsia="宋体"/>
                <w:color w:val="000000"/>
                <w:kern w:val="0"/>
                <w:sz w:val="20"/>
                <w:szCs w:val="20"/>
              </w:rPr>
              <w:t>元/平方米·日</w:t>
            </w:r>
          </w:p>
        </w:tc>
        <w:tc>
          <w:tcPr>
            <w:tcW w:w="8292" w:type="dxa"/>
            <w:gridSpan w:val="3"/>
            <w:vMerge w:val="continue"/>
            <w:vAlign w:val="center"/>
          </w:tcPr>
          <w:p>
            <w:pPr>
              <w:widowControl/>
              <w:jc w:val="left"/>
              <w:rPr>
                <w:rFonts w:ascii="宋体" w:hAnsi="宋体" w:eastAsia="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709" w:type="dxa"/>
            <w:vMerge w:val="continue"/>
            <w:vAlign w:val="center"/>
          </w:tcPr>
          <w:p>
            <w:pPr>
              <w:widowControl/>
              <w:jc w:val="left"/>
              <w:rPr>
                <w:rFonts w:ascii="宋体" w:hAnsi="宋体" w:eastAsia="宋体"/>
                <w:b/>
                <w:bCs/>
                <w:color w:val="000000"/>
                <w:kern w:val="0"/>
                <w:sz w:val="20"/>
                <w:szCs w:val="20"/>
              </w:rPr>
            </w:pPr>
          </w:p>
        </w:tc>
        <w:tc>
          <w:tcPr>
            <w:tcW w:w="425" w:type="dxa"/>
            <w:vAlign w:val="center"/>
          </w:tcPr>
          <w:p>
            <w:pPr>
              <w:spacing w:line="300" w:lineRule="exact"/>
              <w:jc w:val="center"/>
              <w:rPr>
                <w:rFonts w:ascii="宋体" w:hAnsi="宋体" w:eastAsia="宋体"/>
                <w:color w:val="000000"/>
                <w:kern w:val="0"/>
                <w:sz w:val="20"/>
                <w:szCs w:val="20"/>
              </w:rPr>
            </w:pPr>
            <w:r>
              <w:rPr>
                <w:rFonts w:hint="default" w:ascii="Times New Roman" w:hAnsi="Times New Roman" w:eastAsia="宋体" w:cs="Times New Roman"/>
                <w:color w:val="000000"/>
                <w:kern w:val="0"/>
                <w:sz w:val="20"/>
                <w:szCs w:val="20"/>
              </w:rPr>
              <w:t>7</w:t>
            </w:r>
          </w:p>
        </w:tc>
        <w:tc>
          <w:tcPr>
            <w:tcW w:w="2410" w:type="dxa"/>
            <w:gridSpan w:val="4"/>
            <w:vAlign w:val="center"/>
          </w:tcPr>
          <w:p>
            <w:pPr>
              <w:spacing w:line="300" w:lineRule="exact"/>
              <w:jc w:val="center"/>
              <w:rPr>
                <w:rFonts w:ascii="宋体" w:hAnsi="宋体" w:eastAsia="宋体"/>
                <w:color w:val="000000"/>
                <w:kern w:val="0"/>
                <w:sz w:val="20"/>
                <w:szCs w:val="20"/>
              </w:rPr>
            </w:pPr>
            <w:r>
              <w:rPr>
                <w:rFonts w:hint="eastAsia" w:ascii="宋体" w:hAnsi="宋体" w:eastAsia="宋体"/>
                <w:color w:val="000000"/>
                <w:kern w:val="0"/>
                <w:sz w:val="20"/>
                <w:szCs w:val="20"/>
              </w:rPr>
              <w:t>单户按期搬迁奖励</w:t>
            </w:r>
          </w:p>
        </w:tc>
        <w:tc>
          <w:tcPr>
            <w:tcW w:w="2773" w:type="dxa"/>
            <w:vAlign w:val="center"/>
          </w:tcPr>
          <w:p>
            <w:pPr>
              <w:spacing w:line="300" w:lineRule="exact"/>
              <w:jc w:val="center"/>
              <w:rPr>
                <w:rFonts w:ascii="宋体" w:hAnsi="宋体" w:eastAsia="宋体"/>
                <w:color w:val="000000"/>
                <w:kern w:val="0"/>
                <w:sz w:val="20"/>
                <w:szCs w:val="20"/>
              </w:rPr>
            </w:pPr>
            <w:r>
              <w:rPr>
                <w:rFonts w:hint="default" w:ascii="Times New Roman" w:hAnsi="Times New Roman" w:eastAsia="宋体" w:cs="Times New Roman"/>
                <w:color w:val="000000"/>
                <w:kern w:val="0"/>
                <w:sz w:val="20"/>
                <w:szCs w:val="20"/>
              </w:rPr>
              <w:t>30000</w:t>
            </w:r>
            <w:r>
              <w:rPr>
                <w:rFonts w:hint="eastAsia" w:ascii="宋体" w:hAnsi="宋体" w:eastAsia="宋体"/>
                <w:color w:val="000000"/>
                <w:kern w:val="0"/>
                <w:sz w:val="20"/>
                <w:szCs w:val="20"/>
              </w:rPr>
              <w:t>元/户</w:t>
            </w:r>
          </w:p>
        </w:tc>
        <w:tc>
          <w:tcPr>
            <w:tcW w:w="8292" w:type="dxa"/>
            <w:gridSpan w:val="3"/>
            <w:vAlign w:val="center"/>
          </w:tcPr>
          <w:p>
            <w:pPr>
              <w:spacing w:line="300" w:lineRule="exact"/>
              <w:jc w:val="left"/>
              <w:rPr>
                <w:rFonts w:ascii="宋体" w:hAnsi="宋体" w:eastAsia="宋体"/>
                <w:color w:val="000000"/>
                <w:kern w:val="0"/>
                <w:sz w:val="20"/>
                <w:szCs w:val="20"/>
              </w:rPr>
            </w:pPr>
            <w:r>
              <w:rPr>
                <w:rFonts w:hint="eastAsia" w:ascii="宋体" w:hAnsi="宋体" w:eastAsia="宋体"/>
                <w:color w:val="000000"/>
                <w:kern w:val="0"/>
                <w:sz w:val="20"/>
                <w:szCs w:val="20"/>
              </w:rPr>
              <w:t xml:space="preserve">    给予在规定的签约期限内签约并在协议约定的期限内完成搬迁，或者在规定的签约期限内主动搬迁的被征收人的单户按期搬迁奖励。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9" w:hRule="atLeast"/>
          <w:jc w:val="center"/>
        </w:trPr>
        <w:tc>
          <w:tcPr>
            <w:tcW w:w="709" w:type="dxa"/>
            <w:vMerge w:val="continue"/>
            <w:vAlign w:val="center"/>
          </w:tcPr>
          <w:p>
            <w:pPr>
              <w:widowControl/>
              <w:jc w:val="left"/>
              <w:rPr>
                <w:rFonts w:ascii="宋体" w:hAnsi="宋体" w:eastAsia="宋体"/>
                <w:b/>
                <w:bCs/>
                <w:color w:val="000000"/>
                <w:kern w:val="0"/>
                <w:sz w:val="20"/>
                <w:szCs w:val="20"/>
              </w:rPr>
            </w:pPr>
          </w:p>
        </w:tc>
        <w:tc>
          <w:tcPr>
            <w:tcW w:w="425" w:type="dxa"/>
            <w:vMerge w:val="restart"/>
            <w:vAlign w:val="center"/>
          </w:tcPr>
          <w:p>
            <w:pPr>
              <w:spacing w:line="300" w:lineRule="exact"/>
              <w:jc w:val="center"/>
              <w:rPr>
                <w:rFonts w:ascii="宋体" w:hAnsi="宋体" w:eastAsia="宋体"/>
                <w:color w:val="000000"/>
                <w:kern w:val="0"/>
                <w:sz w:val="20"/>
                <w:szCs w:val="20"/>
              </w:rPr>
            </w:pPr>
            <w:r>
              <w:rPr>
                <w:rFonts w:hint="default" w:ascii="Times New Roman" w:hAnsi="Times New Roman" w:eastAsia="宋体" w:cs="Times New Roman"/>
                <w:color w:val="000000"/>
                <w:kern w:val="0"/>
                <w:sz w:val="20"/>
                <w:szCs w:val="20"/>
              </w:rPr>
              <w:t>8</w:t>
            </w:r>
          </w:p>
        </w:tc>
        <w:tc>
          <w:tcPr>
            <w:tcW w:w="1535" w:type="dxa"/>
            <w:gridSpan w:val="3"/>
            <w:vMerge w:val="restart"/>
            <w:vAlign w:val="center"/>
          </w:tcPr>
          <w:p>
            <w:pPr>
              <w:spacing w:line="300" w:lineRule="exact"/>
              <w:jc w:val="center"/>
              <w:rPr>
                <w:rFonts w:ascii="宋体" w:hAnsi="宋体" w:eastAsia="宋体"/>
                <w:color w:val="000000"/>
                <w:kern w:val="0"/>
                <w:sz w:val="20"/>
                <w:szCs w:val="20"/>
              </w:rPr>
            </w:pPr>
            <w:r>
              <w:rPr>
                <w:rFonts w:hint="eastAsia" w:ascii="宋体" w:hAnsi="宋体" w:eastAsia="宋体"/>
                <w:color w:val="000000"/>
                <w:kern w:val="0"/>
                <w:sz w:val="20"/>
                <w:szCs w:val="20"/>
              </w:rPr>
              <w:t>搬迁补助</w:t>
            </w:r>
          </w:p>
        </w:tc>
        <w:tc>
          <w:tcPr>
            <w:tcW w:w="875" w:type="dxa"/>
            <w:vAlign w:val="center"/>
          </w:tcPr>
          <w:p>
            <w:pPr>
              <w:spacing w:line="300" w:lineRule="exact"/>
              <w:jc w:val="center"/>
              <w:rPr>
                <w:rFonts w:ascii="宋体" w:hAnsi="宋体" w:eastAsia="宋体"/>
                <w:color w:val="000000"/>
                <w:kern w:val="0"/>
                <w:sz w:val="20"/>
                <w:szCs w:val="20"/>
              </w:rPr>
            </w:pPr>
            <w:r>
              <w:rPr>
                <w:rFonts w:hint="eastAsia" w:ascii="宋体" w:hAnsi="宋体" w:eastAsia="宋体"/>
                <w:color w:val="000000"/>
                <w:kern w:val="0"/>
                <w:sz w:val="20"/>
                <w:szCs w:val="20"/>
              </w:rPr>
              <w:t>住宅</w:t>
            </w:r>
          </w:p>
        </w:tc>
        <w:tc>
          <w:tcPr>
            <w:tcW w:w="2773" w:type="dxa"/>
            <w:vAlign w:val="center"/>
          </w:tcPr>
          <w:p>
            <w:pPr>
              <w:spacing w:line="300" w:lineRule="exact"/>
              <w:jc w:val="center"/>
              <w:rPr>
                <w:rFonts w:ascii="宋体" w:hAnsi="宋体" w:eastAsia="宋体"/>
                <w:color w:val="000000"/>
                <w:kern w:val="0"/>
                <w:sz w:val="20"/>
                <w:szCs w:val="20"/>
              </w:rPr>
            </w:pPr>
            <w:r>
              <w:rPr>
                <w:rFonts w:hint="default" w:ascii="Times New Roman" w:hAnsi="Times New Roman" w:eastAsia="宋体" w:cs="Times New Roman"/>
                <w:color w:val="000000"/>
                <w:kern w:val="0"/>
                <w:sz w:val="20"/>
                <w:szCs w:val="20"/>
              </w:rPr>
              <w:t>2000</w:t>
            </w:r>
            <w:r>
              <w:rPr>
                <w:rFonts w:hint="eastAsia" w:ascii="宋体" w:hAnsi="宋体" w:eastAsia="宋体"/>
                <w:color w:val="000000"/>
                <w:kern w:val="0"/>
                <w:sz w:val="20"/>
                <w:szCs w:val="20"/>
              </w:rPr>
              <w:t>元/户·次</w:t>
            </w:r>
          </w:p>
        </w:tc>
        <w:tc>
          <w:tcPr>
            <w:tcW w:w="3689" w:type="dxa"/>
            <w:vMerge w:val="restart"/>
            <w:vAlign w:val="center"/>
          </w:tcPr>
          <w:p>
            <w:pPr>
              <w:spacing w:line="300" w:lineRule="exact"/>
              <w:ind w:firstLine="420"/>
              <w:rPr>
                <w:rFonts w:ascii="宋体" w:hAnsi="宋体" w:eastAsia="宋体"/>
                <w:color w:val="000000"/>
                <w:kern w:val="0"/>
                <w:sz w:val="20"/>
                <w:szCs w:val="20"/>
              </w:rPr>
            </w:pPr>
            <w:r>
              <w:rPr>
                <w:rFonts w:hint="eastAsia" w:ascii="宋体" w:hAnsi="宋体" w:eastAsia="宋体"/>
                <w:color w:val="000000"/>
                <w:kern w:val="0"/>
                <w:sz w:val="20"/>
                <w:szCs w:val="20"/>
              </w:rPr>
              <w:t>被征收人选择货币补偿方式的，仅享受</w:t>
            </w:r>
            <w:r>
              <w:rPr>
                <w:rFonts w:hint="default" w:ascii="Times New Roman" w:hAnsi="Times New Roman" w:eastAsia="宋体" w:cs="Times New Roman"/>
                <w:color w:val="000000"/>
                <w:kern w:val="0"/>
                <w:sz w:val="20"/>
                <w:szCs w:val="20"/>
              </w:rPr>
              <w:t>1</w:t>
            </w:r>
            <w:r>
              <w:rPr>
                <w:rFonts w:hint="eastAsia" w:ascii="宋体" w:hAnsi="宋体" w:eastAsia="宋体"/>
                <w:color w:val="000000"/>
                <w:kern w:val="0"/>
                <w:sz w:val="20"/>
                <w:szCs w:val="20"/>
              </w:rPr>
              <w:t>次搬迁补助；选择产权调换补偿方式的，享受</w:t>
            </w:r>
            <w:r>
              <w:rPr>
                <w:rFonts w:hint="default" w:ascii="Times New Roman" w:hAnsi="Times New Roman" w:eastAsia="宋体" w:cs="Times New Roman"/>
                <w:color w:val="000000"/>
                <w:kern w:val="0"/>
                <w:sz w:val="20"/>
                <w:szCs w:val="20"/>
              </w:rPr>
              <w:t>2</w:t>
            </w:r>
            <w:r>
              <w:rPr>
                <w:rFonts w:hint="eastAsia" w:ascii="宋体" w:hAnsi="宋体" w:eastAsia="宋体"/>
                <w:color w:val="000000"/>
                <w:kern w:val="0"/>
                <w:sz w:val="20"/>
                <w:szCs w:val="20"/>
              </w:rPr>
              <w:t>次搬迁补助。</w:t>
            </w:r>
          </w:p>
          <w:p>
            <w:pPr>
              <w:spacing w:line="300" w:lineRule="exact"/>
              <w:ind w:firstLine="420"/>
              <w:rPr>
                <w:rFonts w:ascii="宋体" w:hAnsi="宋体" w:eastAsia="宋体"/>
                <w:color w:val="000000"/>
                <w:kern w:val="0"/>
                <w:sz w:val="20"/>
                <w:szCs w:val="20"/>
              </w:rPr>
            </w:pPr>
          </w:p>
        </w:tc>
        <w:tc>
          <w:tcPr>
            <w:tcW w:w="4603" w:type="dxa"/>
            <w:gridSpan w:val="2"/>
            <w:vMerge w:val="restart"/>
            <w:vAlign w:val="center"/>
          </w:tcPr>
          <w:p>
            <w:pPr>
              <w:spacing w:line="300" w:lineRule="exact"/>
              <w:ind w:firstLine="420"/>
              <w:rPr>
                <w:rFonts w:ascii="宋体" w:hAnsi="宋体" w:eastAsia="宋体"/>
                <w:color w:val="000000"/>
                <w:kern w:val="0"/>
                <w:sz w:val="20"/>
                <w:szCs w:val="20"/>
              </w:rPr>
            </w:pPr>
            <w:r>
              <w:rPr>
                <w:rFonts w:hint="eastAsia" w:ascii="宋体" w:hAnsi="宋体" w:eastAsia="宋体"/>
                <w:color w:val="000000"/>
                <w:kern w:val="0"/>
                <w:sz w:val="20"/>
                <w:szCs w:val="20"/>
              </w:rPr>
              <w:t>同一产权房屋中既有住宅又有非住宅的，搬迁补助分别计算。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8" w:hRule="atLeast"/>
          <w:jc w:val="center"/>
        </w:trPr>
        <w:tc>
          <w:tcPr>
            <w:tcW w:w="709" w:type="dxa"/>
            <w:vMerge w:val="continue"/>
            <w:vAlign w:val="center"/>
          </w:tcPr>
          <w:p>
            <w:pPr>
              <w:widowControl/>
              <w:jc w:val="left"/>
              <w:rPr>
                <w:rFonts w:ascii="宋体" w:hAnsi="宋体" w:eastAsia="宋体"/>
                <w:b/>
                <w:bCs/>
                <w:color w:val="000000"/>
                <w:kern w:val="0"/>
                <w:sz w:val="20"/>
                <w:szCs w:val="20"/>
              </w:rPr>
            </w:pPr>
          </w:p>
        </w:tc>
        <w:tc>
          <w:tcPr>
            <w:tcW w:w="425" w:type="dxa"/>
            <w:vMerge w:val="continue"/>
            <w:vAlign w:val="center"/>
          </w:tcPr>
          <w:p>
            <w:pPr>
              <w:widowControl/>
              <w:jc w:val="left"/>
              <w:rPr>
                <w:rFonts w:ascii="宋体" w:hAnsi="宋体" w:eastAsia="宋体"/>
                <w:color w:val="000000"/>
                <w:kern w:val="0"/>
                <w:sz w:val="20"/>
                <w:szCs w:val="20"/>
              </w:rPr>
            </w:pPr>
          </w:p>
        </w:tc>
        <w:tc>
          <w:tcPr>
            <w:tcW w:w="1535" w:type="dxa"/>
            <w:gridSpan w:val="3"/>
            <w:vMerge w:val="continue"/>
            <w:vAlign w:val="center"/>
          </w:tcPr>
          <w:p>
            <w:pPr>
              <w:widowControl/>
              <w:jc w:val="left"/>
              <w:rPr>
                <w:rFonts w:ascii="宋体" w:hAnsi="宋体" w:eastAsia="宋体"/>
                <w:color w:val="000000"/>
                <w:kern w:val="0"/>
                <w:sz w:val="20"/>
                <w:szCs w:val="20"/>
              </w:rPr>
            </w:pPr>
          </w:p>
        </w:tc>
        <w:tc>
          <w:tcPr>
            <w:tcW w:w="875" w:type="dxa"/>
            <w:vAlign w:val="center"/>
          </w:tcPr>
          <w:p>
            <w:pPr>
              <w:spacing w:line="300" w:lineRule="exact"/>
              <w:jc w:val="center"/>
              <w:rPr>
                <w:rFonts w:ascii="宋体" w:hAnsi="宋体" w:eastAsia="宋体"/>
                <w:color w:val="000000"/>
                <w:kern w:val="0"/>
                <w:sz w:val="20"/>
                <w:szCs w:val="20"/>
              </w:rPr>
            </w:pPr>
            <w:r>
              <w:rPr>
                <w:rFonts w:hint="eastAsia" w:ascii="宋体" w:hAnsi="宋体" w:eastAsia="宋体"/>
                <w:color w:val="000000"/>
                <w:kern w:val="0"/>
                <w:sz w:val="20"/>
                <w:szCs w:val="20"/>
              </w:rPr>
              <w:t>非住宅</w:t>
            </w:r>
          </w:p>
        </w:tc>
        <w:tc>
          <w:tcPr>
            <w:tcW w:w="2773" w:type="dxa"/>
            <w:vAlign w:val="center"/>
          </w:tcPr>
          <w:p>
            <w:pPr>
              <w:keepNext/>
              <w:keepLines/>
              <w:spacing w:line="300" w:lineRule="exact"/>
              <w:outlineLvl w:val="0"/>
              <w:rPr>
                <w:rFonts w:eastAsia="宋体"/>
                <w:kern w:val="44"/>
                <w:sz w:val="22"/>
                <w:szCs w:val="22"/>
              </w:rPr>
            </w:pPr>
            <w:r>
              <w:rPr>
                <w:rFonts w:hint="eastAsia" w:ascii="宋体" w:hAnsi="宋体" w:eastAsia="宋体"/>
                <w:color w:val="000000"/>
                <w:kern w:val="0"/>
                <w:sz w:val="20"/>
                <w:szCs w:val="20"/>
              </w:rPr>
              <w:t>商业、办公、业务用房每次按</w:t>
            </w:r>
            <w:r>
              <w:rPr>
                <w:rFonts w:hint="default" w:ascii="Times New Roman" w:hAnsi="Times New Roman" w:eastAsia="宋体" w:cs="Times New Roman"/>
                <w:color w:val="000000"/>
                <w:kern w:val="0"/>
                <w:sz w:val="20"/>
                <w:szCs w:val="20"/>
              </w:rPr>
              <w:t>30</w:t>
            </w:r>
            <w:r>
              <w:rPr>
                <w:rFonts w:hint="eastAsia" w:ascii="宋体" w:hAnsi="宋体" w:eastAsia="宋体"/>
                <w:color w:val="000000"/>
                <w:kern w:val="0"/>
                <w:sz w:val="20"/>
                <w:szCs w:val="20"/>
              </w:rPr>
              <w:t>元/平方米·次，生产用房按</w:t>
            </w:r>
            <w:r>
              <w:rPr>
                <w:rFonts w:hint="default" w:ascii="Times New Roman" w:hAnsi="Times New Roman" w:eastAsia="宋体" w:cs="Times New Roman"/>
                <w:color w:val="000000"/>
                <w:kern w:val="0"/>
                <w:sz w:val="20"/>
                <w:szCs w:val="20"/>
              </w:rPr>
              <w:t>40</w:t>
            </w:r>
            <w:r>
              <w:rPr>
                <w:rFonts w:hint="eastAsia" w:ascii="宋体" w:hAnsi="宋体" w:eastAsia="宋体"/>
                <w:color w:val="000000"/>
                <w:kern w:val="0"/>
                <w:sz w:val="20"/>
                <w:szCs w:val="20"/>
              </w:rPr>
              <w:t>元/平方米·次。</w:t>
            </w:r>
          </w:p>
          <w:p>
            <w:pPr>
              <w:spacing w:line="300" w:lineRule="exact"/>
              <w:rPr>
                <w:rFonts w:ascii="Calibri" w:hAnsi="Calibri" w:eastAsia="宋体"/>
                <w:sz w:val="22"/>
                <w:szCs w:val="22"/>
              </w:rPr>
            </w:pPr>
          </w:p>
        </w:tc>
        <w:tc>
          <w:tcPr>
            <w:tcW w:w="3689" w:type="dxa"/>
            <w:vMerge w:val="continue"/>
            <w:vAlign w:val="center"/>
          </w:tcPr>
          <w:p>
            <w:pPr>
              <w:widowControl/>
              <w:jc w:val="left"/>
              <w:rPr>
                <w:rFonts w:ascii="宋体" w:hAnsi="宋体" w:eastAsia="宋体"/>
                <w:color w:val="000000"/>
                <w:kern w:val="0"/>
                <w:sz w:val="20"/>
                <w:szCs w:val="20"/>
              </w:rPr>
            </w:pPr>
          </w:p>
        </w:tc>
        <w:tc>
          <w:tcPr>
            <w:tcW w:w="4603" w:type="dxa"/>
            <w:gridSpan w:val="2"/>
            <w:vMerge w:val="continue"/>
            <w:vAlign w:val="center"/>
          </w:tcPr>
          <w:p>
            <w:pPr>
              <w:widowControl/>
              <w:jc w:val="left"/>
              <w:rPr>
                <w:rFonts w:ascii="宋体" w:hAnsi="宋体" w:eastAsia="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2" w:hRule="atLeast"/>
          <w:jc w:val="center"/>
        </w:trPr>
        <w:tc>
          <w:tcPr>
            <w:tcW w:w="709" w:type="dxa"/>
            <w:vAlign w:val="center"/>
          </w:tcPr>
          <w:p>
            <w:pPr>
              <w:jc w:val="center"/>
              <w:rPr>
                <w:rFonts w:ascii="宋体" w:hAnsi="宋体" w:eastAsia="宋体"/>
                <w:b/>
                <w:bCs/>
                <w:color w:val="000000"/>
                <w:kern w:val="0"/>
                <w:sz w:val="20"/>
                <w:szCs w:val="20"/>
              </w:rPr>
            </w:pPr>
            <w:r>
              <w:rPr>
                <w:rFonts w:hint="eastAsia" w:ascii="宋体" w:hAnsi="宋体" w:eastAsia="宋体"/>
                <w:b/>
                <w:bCs/>
                <w:color w:val="000000"/>
                <w:kern w:val="0"/>
                <w:sz w:val="20"/>
                <w:szCs w:val="20"/>
              </w:rPr>
              <w:t>奖励补助</w:t>
            </w:r>
          </w:p>
        </w:tc>
        <w:tc>
          <w:tcPr>
            <w:tcW w:w="425" w:type="dxa"/>
            <w:vAlign w:val="center"/>
          </w:tcPr>
          <w:p>
            <w:pPr>
              <w:spacing w:line="300" w:lineRule="exact"/>
              <w:jc w:val="center"/>
              <w:rPr>
                <w:rFonts w:ascii="宋体" w:hAnsi="宋体" w:eastAsia="宋体"/>
                <w:color w:val="000000"/>
                <w:kern w:val="0"/>
                <w:sz w:val="20"/>
                <w:szCs w:val="20"/>
              </w:rPr>
            </w:pPr>
            <w:r>
              <w:rPr>
                <w:rFonts w:hint="default" w:ascii="Times New Roman" w:hAnsi="Times New Roman" w:eastAsia="宋体" w:cs="Times New Roman"/>
                <w:color w:val="000000"/>
                <w:kern w:val="0"/>
                <w:sz w:val="20"/>
                <w:szCs w:val="20"/>
              </w:rPr>
              <w:t>9</w:t>
            </w:r>
          </w:p>
        </w:tc>
        <w:tc>
          <w:tcPr>
            <w:tcW w:w="1027" w:type="dxa"/>
            <w:vAlign w:val="center"/>
          </w:tcPr>
          <w:p>
            <w:pPr>
              <w:spacing w:line="300" w:lineRule="exact"/>
              <w:jc w:val="center"/>
              <w:rPr>
                <w:rFonts w:ascii="宋体" w:hAnsi="宋体" w:eastAsia="宋体"/>
                <w:color w:val="000000"/>
                <w:kern w:val="0"/>
                <w:sz w:val="20"/>
                <w:szCs w:val="20"/>
              </w:rPr>
            </w:pPr>
            <w:r>
              <w:rPr>
                <w:rFonts w:hint="eastAsia" w:ascii="宋体" w:hAnsi="宋体" w:eastAsia="宋体"/>
                <w:color w:val="000000"/>
                <w:kern w:val="0"/>
                <w:sz w:val="20"/>
                <w:szCs w:val="20"/>
              </w:rPr>
              <w:t>临时安置补助</w:t>
            </w:r>
          </w:p>
        </w:tc>
        <w:tc>
          <w:tcPr>
            <w:tcW w:w="1383" w:type="dxa"/>
            <w:gridSpan w:val="3"/>
            <w:vAlign w:val="center"/>
          </w:tcPr>
          <w:p>
            <w:pPr>
              <w:spacing w:line="300" w:lineRule="exact"/>
              <w:jc w:val="center"/>
              <w:rPr>
                <w:rFonts w:ascii="宋体" w:hAnsi="宋体" w:eastAsia="宋体"/>
                <w:color w:val="000000"/>
                <w:kern w:val="0"/>
                <w:sz w:val="20"/>
                <w:szCs w:val="20"/>
              </w:rPr>
            </w:pPr>
            <w:r>
              <w:rPr>
                <w:rFonts w:hint="eastAsia" w:ascii="宋体" w:hAnsi="宋体" w:eastAsia="宋体"/>
                <w:color w:val="000000"/>
                <w:kern w:val="0"/>
                <w:sz w:val="20"/>
                <w:szCs w:val="20"/>
              </w:rPr>
              <w:t>住宅</w:t>
            </w:r>
          </w:p>
        </w:tc>
        <w:tc>
          <w:tcPr>
            <w:tcW w:w="2773" w:type="dxa"/>
            <w:vAlign w:val="center"/>
          </w:tcPr>
          <w:p>
            <w:pPr>
              <w:spacing w:line="300" w:lineRule="exact"/>
              <w:rPr>
                <w:rFonts w:ascii="宋体" w:hAnsi="宋体" w:eastAsia="宋体"/>
                <w:color w:val="000000"/>
                <w:kern w:val="0"/>
                <w:sz w:val="20"/>
                <w:szCs w:val="20"/>
              </w:rPr>
            </w:pPr>
            <w:r>
              <w:rPr>
                <w:rFonts w:hint="default" w:ascii="Times New Roman" w:hAnsi="Times New Roman" w:eastAsia="宋体" w:cs="Times New Roman"/>
                <w:color w:val="000000"/>
                <w:kern w:val="0"/>
                <w:sz w:val="20"/>
                <w:szCs w:val="20"/>
              </w:rPr>
              <w:t>1</w:t>
            </w:r>
            <w:r>
              <w:rPr>
                <w:rFonts w:hint="eastAsia" w:ascii="宋体" w:hAnsi="宋体" w:eastAsia="宋体"/>
                <w:color w:val="000000"/>
                <w:kern w:val="0"/>
                <w:sz w:val="20"/>
                <w:szCs w:val="20"/>
              </w:rPr>
              <w:t>.被征收房屋面积</w:t>
            </w:r>
            <w:r>
              <w:rPr>
                <w:rFonts w:hint="default" w:ascii="Times New Roman" w:hAnsi="Times New Roman" w:eastAsia="宋体" w:cs="Times New Roman"/>
                <w:color w:val="000000"/>
                <w:kern w:val="0"/>
                <w:sz w:val="20"/>
                <w:szCs w:val="20"/>
              </w:rPr>
              <w:t>30</w:t>
            </w:r>
            <w:r>
              <w:rPr>
                <w:rFonts w:hint="eastAsia" w:ascii="宋体" w:hAnsi="宋体" w:eastAsia="宋体"/>
                <w:color w:val="000000"/>
                <w:kern w:val="0"/>
                <w:sz w:val="20"/>
                <w:szCs w:val="20"/>
              </w:rPr>
              <w:t>平方米以下的，按照</w:t>
            </w:r>
            <w:r>
              <w:rPr>
                <w:rFonts w:hint="default" w:ascii="Times New Roman" w:hAnsi="Times New Roman" w:eastAsia="宋体" w:cs="Times New Roman"/>
                <w:color w:val="000000"/>
                <w:kern w:val="0"/>
                <w:sz w:val="20"/>
                <w:szCs w:val="20"/>
              </w:rPr>
              <w:t>30</w:t>
            </w:r>
            <w:r>
              <w:rPr>
                <w:rFonts w:hint="eastAsia" w:ascii="宋体" w:hAnsi="宋体" w:eastAsia="宋体"/>
                <w:color w:val="000000"/>
                <w:kern w:val="0"/>
                <w:sz w:val="20"/>
                <w:szCs w:val="20"/>
              </w:rPr>
              <w:t>元/平方米·月发放；</w:t>
            </w:r>
          </w:p>
          <w:p>
            <w:pPr>
              <w:spacing w:line="300" w:lineRule="exact"/>
              <w:rPr>
                <w:rFonts w:hint="eastAsia" w:ascii="宋体" w:hAnsi="宋体" w:eastAsia="宋体"/>
                <w:color w:val="000000"/>
                <w:kern w:val="0"/>
                <w:sz w:val="20"/>
                <w:szCs w:val="20"/>
              </w:rPr>
            </w:pPr>
            <w:r>
              <w:rPr>
                <w:rFonts w:hint="default" w:ascii="Times New Roman" w:hAnsi="Times New Roman" w:eastAsia="宋体" w:cs="Times New Roman"/>
                <w:color w:val="000000"/>
                <w:kern w:val="0"/>
                <w:sz w:val="20"/>
                <w:szCs w:val="20"/>
              </w:rPr>
              <w:t>2</w:t>
            </w:r>
            <w:r>
              <w:rPr>
                <w:rFonts w:hint="eastAsia" w:ascii="宋体" w:hAnsi="宋体" w:eastAsia="宋体"/>
                <w:color w:val="000000"/>
                <w:kern w:val="0"/>
                <w:sz w:val="20"/>
                <w:szCs w:val="20"/>
              </w:rPr>
              <w:t>.被征收房屋面积</w:t>
            </w:r>
            <w:r>
              <w:rPr>
                <w:rFonts w:hint="default" w:ascii="Times New Roman" w:hAnsi="Times New Roman" w:eastAsia="宋体" w:cs="Times New Roman"/>
                <w:color w:val="000000"/>
                <w:kern w:val="0"/>
                <w:sz w:val="20"/>
                <w:szCs w:val="20"/>
              </w:rPr>
              <w:t>30</w:t>
            </w:r>
            <w:r>
              <w:rPr>
                <w:rFonts w:hint="eastAsia" w:ascii="宋体" w:hAnsi="宋体" w:eastAsia="宋体"/>
                <w:color w:val="000000"/>
                <w:kern w:val="0"/>
                <w:sz w:val="20"/>
                <w:szCs w:val="20"/>
              </w:rPr>
              <w:t>平方米以上</w:t>
            </w:r>
            <w:r>
              <w:rPr>
                <w:rFonts w:hint="default" w:ascii="Times New Roman" w:hAnsi="Times New Roman" w:eastAsia="宋体" w:cs="Times New Roman"/>
                <w:color w:val="000000"/>
                <w:kern w:val="0"/>
                <w:sz w:val="20"/>
                <w:szCs w:val="20"/>
              </w:rPr>
              <w:t>45</w:t>
            </w:r>
            <w:r>
              <w:rPr>
                <w:rFonts w:hint="eastAsia" w:ascii="宋体" w:hAnsi="宋体" w:eastAsia="宋体"/>
                <w:color w:val="000000"/>
                <w:kern w:val="0"/>
                <w:sz w:val="20"/>
                <w:szCs w:val="20"/>
              </w:rPr>
              <w:t>平方米以下的，按</w:t>
            </w:r>
            <w:r>
              <w:rPr>
                <w:rFonts w:hint="default" w:ascii="Times New Roman" w:hAnsi="Times New Roman" w:eastAsia="宋体" w:cs="Times New Roman"/>
                <w:color w:val="000000"/>
                <w:kern w:val="0"/>
                <w:sz w:val="20"/>
                <w:szCs w:val="20"/>
              </w:rPr>
              <w:t>900</w:t>
            </w:r>
            <w:r>
              <w:rPr>
                <w:rFonts w:hint="eastAsia" w:ascii="宋体" w:hAnsi="宋体" w:eastAsia="宋体"/>
                <w:color w:val="000000"/>
                <w:kern w:val="0"/>
                <w:sz w:val="20"/>
                <w:szCs w:val="20"/>
              </w:rPr>
              <w:t>元/月标准发放；</w:t>
            </w:r>
          </w:p>
          <w:p>
            <w:pPr>
              <w:spacing w:line="300" w:lineRule="exact"/>
              <w:rPr>
                <w:rFonts w:ascii="宋体" w:hAnsi="宋体" w:eastAsia="宋体"/>
                <w:color w:val="000000"/>
                <w:kern w:val="0"/>
                <w:sz w:val="20"/>
                <w:szCs w:val="20"/>
              </w:rPr>
            </w:pPr>
            <w:r>
              <w:rPr>
                <w:rFonts w:hint="default" w:ascii="Times New Roman" w:hAnsi="Times New Roman" w:eastAsia="宋体" w:cs="Times New Roman"/>
                <w:color w:val="000000"/>
                <w:kern w:val="0"/>
                <w:sz w:val="20"/>
                <w:szCs w:val="20"/>
              </w:rPr>
              <w:t>3</w:t>
            </w:r>
            <w:r>
              <w:rPr>
                <w:rFonts w:hint="eastAsia" w:ascii="宋体" w:hAnsi="宋体" w:eastAsia="宋体"/>
                <w:color w:val="000000"/>
                <w:kern w:val="0"/>
                <w:sz w:val="20"/>
                <w:szCs w:val="20"/>
              </w:rPr>
              <w:t>.被征收房屋面积超过</w:t>
            </w:r>
            <w:r>
              <w:rPr>
                <w:rFonts w:hint="default" w:ascii="Times New Roman" w:hAnsi="Times New Roman" w:eastAsia="宋体" w:cs="Times New Roman"/>
                <w:color w:val="000000"/>
                <w:kern w:val="0"/>
                <w:sz w:val="20"/>
                <w:szCs w:val="20"/>
              </w:rPr>
              <w:t>45</w:t>
            </w:r>
            <w:r>
              <w:rPr>
                <w:rFonts w:hint="eastAsia" w:ascii="宋体" w:hAnsi="宋体" w:eastAsia="宋体"/>
                <w:color w:val="000000"/>
                <w:kern w:val="0"/>
                <w:sz w:val="20"/>
                <w:szCs w:val="20"/>
              </w:rPr>
              <w:t>平方米的，超出部分按照每户</w:t>
            </w:r>
            <w:r>
              <w:rPr>
                <w:rFonts w:hint="default" w:ascii="Times New Roman" w:hAnsi="Times New Roman" w:eastAsia="宋体" w:cs="Times New Roman"/>
                <w:color w:val="000000"/>
                <w:kern w:val="0"/>
                <w:sz w:val="20"/>
                <w:szCs w:val="20"/>
              </w:rPr>
              <w:t>11</w:t>
            </w:r>
            <w:r>
              <w:rPr>
                <w:rFonts w:hint="eastAsia" w:ascii="宋体" w:hAnsi="宋体" w:eastAsia="宋体"/>
                <w:color w:val="000000"/>
                <w:kern w:val="0"/>
                <w:sz w:val="20"/>
                <w:szCs w:val="20"/>
              </w:rPr>
              <w:t>-</w:t>
            </w:r>
            <w:r>
              <w:rPr>
                <w:rFonts w:hint="default" w:ascii="Times New Roman" w:hAnsi="Times New Roman" w:eastAsia="宋体" w:cs="Times New Roman"/>
                <w:color w:val="000000"/>
                <w:kern w:val="0"/>
                <w:sz w:val="20"/>
                <w:szCs w:val="20"/>
              </w:rPr>
              <w:t>15</w:t>
            </w:r>
            <w:r>
              <w:rPr>
                <w:rFonts w:hint="eastAsia" w:ascii="宋体" w:hAnsi="宋体" w:eastAsia="宋体"/>
                <w:color w:val="000000"/>
                <w:kern w:val="0"/>
                <w:sz w:val="20"/>
                <w:szCs w:val="20"/>
              </w:rPr>
              <w:t>元/平方米·月的标准发放（超出部分的具体标准按征收区域而定，在征收补偿方案中体现）</w:t>
            </w:r>
          </w:p>
        </w:tc>
        <w:tc>
          <w:tcPr>
            <w:tcW w:w="8292" w:type="dxa"/>
            <w:gridSpan w:val="3"/>
            <w:vAlign w:val="center"/>
          </w:tcPr>
          <w:p>
            <w:pPr>
              <w:spacing w:line="300" w:lineRule="exact"/>
              <w:ind w:firstLine="420"/>
              <w:rPr>
                <w:rFonts w:ascii="宋体" w:hAnsi="宋体" w:eastAsia="宋体"/>
                <w:color w:val="000000"/>
                <w:kern w:val="0"/>
                <w:sz w:val="20"/>
                <w:szCs w:val="20"/>
              </w:rPr>
            </w:pPr>
            <w:r>
              <w:rPr>
                <w:rFonts w:hint="default" w:ascii="Times New Roman" w:hAnsi="Times New Roman" w:eastAsia="宋体" w:cs="Times New Roman"/>
                <w:color w:val="000000"/>
                <w:kern w:val="0"/>
                <w:sz w:val="20"/>
                <w:szCs w:val="20"/>
              </w:rPr>
              <w:t>1</w:t>
            </w:r>
            <w:r>
              <w:rPr>
                <w:rFonts w:hint="eastAsia" w:ascii="宋体" w:hAnsi="宋体" w:eastAsia="宋体"/>
                <w:color w:val="000000"/>
                <w:kern w:val="0"/>
                <w:sz w:val="20"/>
                <w:szCs w:val="20"/>
              </w:rPr>
              <w:t>.被征收房屋为住宅，被征收人选择产权调换补偿方式，且征收人未提供临时周转房屋的，按户给予临时安置补助。</w:t>
            </w:r>
          </w:p>
          <w:p>
            <w:pPr>
              <w:spacing w:line="300" w:lineRule="exact"/>
              <w:ind w:firstLine="300" w:firstLineChars="150"/>
              <w:rPr>
                <w:rFonts w:hint="eastAsia" w:ascii="宋体" w:hAnsi="宋体" w:eastAsia="宋体"/>
                <w:color w:val="000000"/>
                <w:kern w:val="0"/>
                <w:sz w:val="20"/>
                <w:szCs w:val="20"/>
              </w:rPr>
            </w:pPr>
            <w:r>
              <w:rPr>
                <w:rFonts w:hint="default" w:ascii="Times New Roman" w:hAnsi="Times New Roman" w:eastAsia="宋体" w:cs="Times New Roman"/>
                <w:color w:val="000000"/>
                <w:kern w:val="0"/>
                <w:sz w:val="20"/>
                <w:szCs w:val="20"/>
              </w:rPr>
              <w:t>2</w:t>
            </w:r>
            <w:r>
              <w:rPr>
                <w:rFonts w:hint="eastAsia" w:ascii="宋体" w:hAnsi="宋体" w:eastAsia="宋体"/>
                <w:color w:val="000000"/>
                <w:kern w:val="0"/>
                <w:sz w:val="20"/>
                <w:szCs w:val="20"/>
              </w:rPr>
              <w:t>.产权调换房屋为现房的，发放</w:t>
            </w:r>
            <w:r>
              <w:rPr>
                <w:rFonts w:hint="default" w:ascii="Times New Roman" w:hAnsi="Times New Roman" w:eastAsia="宋体" w:cs="Times New Roman"/>
                <w:color w:val="000000"/>
                <w:kern w:val="0"/>
                <w:sz w:val="20"/>
                <w:szCs w:val="20"/>
              </w:rPr>
              <w:t>3</w:t>
            </w:r>
            <w:r>
              <w:rPr>
                <w:rFonts w:hint="eastAsia" w:ascii="宋体" w:hAnsi="宋体" w:eastAsia="宋体"/>
                <w:color w:val="000000"/>
                <w:kern w:val="0"/>
                <w:sz w:val="20"/>
                <w:szCs w:val="20"/>
              </w:rPr>
              <w:t>个月临时安置补助。产权调换房屋为期房的，临时安置补助自征收协议签订并交旧房之月起计算，至通知接房之次月起</w:t>
            </w:r>
            <w:r>
              <w:rPr>
                <w:rFonts w:hint="default" w:ascii="Times New Roman" w:hAnsi="Times New Roman" w:eastAsia="宋体" w:cs="Times New Roman"/>
                <w:color w:val="000000"/>
                <w:kern w:val="0"/>
                <w:sz w:val="20"/>
                <w:szCs w:val="20"/>
              </w:rPr>
              <w:t>3</w:t>
            </w:r>
            <w:r>
              <w:rPr>
                <w:rFonts w:hint="eastAsia" w:ascii="宋体" w:hAnsi="宋体" w:eastAsia="宋体"/>
                <w:color w:val="000000"/>
                <w:kern w:val="0"/>
                <w:sz w:val="20"/>
                <w:szCs w:val="20"/>
              </w:rPr>
              <w:t>个月止。</w:t>
            </w:r>
          </w:p>
          <w:p>
            <w:pPr>
              <w:spacing w:line="300" w:lineRule="exact"/>
              <w:ind w:firstLine="420"/>
              <w:rPr>
                <w:rFonts w:ascii="宋体" w:hAnsi="宋体" w:eastAsia="宋体"/>
                <w:color w:val="000000"/>
                <w:kern w:val="0"/>
                <w:sz w:val="20"/>
                <w:szCs w:val="20"/>
              </w:rPr>
            </w:pPr>
            <w:r>
              <w:rPr>
                <w:rFonts w:hint="default" w:ascii="Times New Roman" w:hAnsi="Times New Roman" w:eastAsia="宋体" w:cs="Times New Roman"/>
                <w:color w:val="000000"/>
                <w:kern w:val="0"/>
                <w:sz w:val="20"/>
                <w:szCs w:val="20"/>
              </w:rPr>
              <w:t>3</w:t>
            </w:r>
            <w:r>
              <w:rPr>
                <w:rFonts w:hint="eastAsia" w:ascii="宋体" w:hAnsi="宋体" w:eastAsia="宋体"/>
                <w:color w:val="000000"/>
                <w:kern w:val="0"/>
                <w:sz w:val="20"/>
                <w:szCs w:val="20"/>
              </w:rPr>
              <w:t>.经认定参照有证房屋处置的未经登记建筑的临时安置补助参照以上标准执行；被征收人既有有证建筑又有认定为参照有证房屋处置的未经登记建筑，合并计算面积后，按一户计算临时安置补助。</w:t>
            </w:r>
          </w:p>
        </w:tc>
      </w:tr>
    </w:tbl>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21"/>
          <w:szCs w:val="21"/>
          <w:shd w:val="clear" w:color="auto" w:fill="FFFFFF"/>
          <w:lang w:eastAsia="zh-CN" w:bidi="ar-SA"/>
        </w:rPr>
      </w:pPr>
      <w:r>
        <w:rPr>
          <w:rFonts w:hint="eastAsia" w:ascii="方正仿宋_GBK"/>
          <w:color w:val="000000"/>
          <w:sz w:val="21"/>
          <w:szCs w:val="21"/>
        </w:rPr>
        <w:t>备注：除有特别说明外，本标准中的户系指被征收房屋的产权户和经认定公示的公房承租户；以上和以下均包含本数；被征收房屋面积系由房屋产权证载建筑面积和按规定享受最低住房保障政策补足部分面积组成；被征收房屋评估价值系指被征收房屋产权证载建筑面积和按规定享受最低住房保障政策补足部分面积所对应的评估价值。</w:t>
      </w:r>
    </w:p>
    <w:sectPr>
      <w:headerReference r:id="rId5" w:type="default"/>
      <w:footerReference r:id="rId6" w:type="default"/>
      <w:pgSz w:w="16838" w:h="11906" w:orient="landscape"/>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imes New Roman (正文 CS 字体)">
    <w:altName w:val="Times New Roman"/>
    <w:panose1 w:val="00000000000000000000"/>
    <w:charset w:val="00"/>
    <w:family w:val="auto"/>
    <w:pitch w:val="default"/>
    <w:sig w:usb0="00000000" w:usb1="00000000" w:usb2="00000000"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简体">
    <w:altName w:val="微软雅黑"/>
    <w:panose1 w:val="03000509000000000000"/>
    <w:charset w:val="86"/>
    <w:family w:val="script"/>
    <w:pitch w:val="default"/>
    <w:sig w:usb0="00000000" w:usb1="00000000" w:usb2="00000010" w:usb3="00000000" w:csb0="00040000" w:csb1="00000000"/>
  </w:font>
  <w:font w:name="Microsoft JhengHei">
    <w:panose1 w:val="020B0604030504040204"/>
    <w:charset w:val="88"/>
    <w:family w:val="swiss"/>
    <w:pitch w:val="default"/>
    <w:sig w:usb0="00000087" w:usb1="28AF4000" w:usb2="00000016" w:usb3="00000000" w:csb0="00100009"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重庆市巴南区人民政府办公室</w:t>
    </w:r>
    <w:r>
      <w:rPr>
        <w:rFonts w:hint="eastAsia" w:ascii="宋体" w:hAnsi="宋体" w:eastAsia="宋体" w:cs="宋体"/>
        <w:b/>
        <w:bCs/>
        <w:color w:val="005192"/>
        <w:sz w:val="28"/>
        <w:szCs w:val="44"/>
        <w:lang w:val="en-US" w:eastAsia="zh-CN"/>
      </w:rPr>
      <w:t xml:space="preserve">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sz w:val="32"/>
      </w:rPr>
    </w:pPr>
    <w:r>
      <w:rPr>
        <w:sz w:val="32"/>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6"/>
      <w:ind w:left="4788" w:leftChars="2280" w:firstLine="6400" w:firstLineChars="2000"/>
      <w:rPr>
        <w:sz w:val="32"/>
      </w:rPr>
    </w:pPr>
    <w:r>
      <w:rPr>
        <w:color w:val="FAFAFA"/>
        <w:sz w:val="32"/>
      </w:rPr>
      <mc:AlternateContent>
        <mc:Choice Requires="wps">
          <w:drawing>
            <wp:anchor distT="0" distB="0" distL="114300" distR="114300" simplePos="0" relativeHeight="251669504" behindDoc="0" locked="0" layoutInCell="1" allowOverlap="1">
              <wp:simplePos x="0" y="0"/>
              <wp:positionH relativeFrom="column">
                <wp:posOffset>-19050</wp:posOffset>
              </wp:positionH>
              <wp:positionV relativeFrom="paragraph">
                <wp:posOffset>140335</wp:posOffset>
              </wp:positionV>
              <wp:extent cx="82880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9504;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CGzHZkywEAAGYDAAAOAAAAZHJzL2Uyb0RvYy54bWytU82O0zAQ&#10;viPxDpbvNGmkRSVquoetlguCSsADTB07seQ/eUzTvgQvgMQNThy58zYsj8HY7XbZ3dsKHya2Z+Yb&#10;f99Mlpd7a9hORtTedXw+qzmTTvheu6HjHz9cv1hwhglcD8Y72fGDRH65ev5sOYVWNn70ppeREYjD&#10;dgodH1MKbVWhGKUFnPkgHTmVjxYSHeNQ9REmQremaur6ZTX52IfohUSk2/XRyVcFXykp0julUCZm&#10;Ok5vS8XGYrfZVqsltEOEMGpxegY84RUWtKOiZ6g1JGCfon4EZbWIHr1KM+Ft5ZXSQhYOxGZeP2Dz&#10;foQgCxcSB8NZJvx/sOLtbhOZ7ql3c84cWOrRzZefvz9/+/PrK9mbH98ZeUimKWBL0VduE08nDJuY&#10;Oe9VtPlLbNi+SHs4Syv3iQm6XDSLRd1QB8Str7pLDBHTa+kty5uOG+0ya2hh9wYTFaPQ25B87fy1&#10;NqZ0zjg2dbyhdUHQQAOkDCTa2kCU0A2cgRloMkWKBRK90X1Oz0AYh+2ViWwHeTrqi/mrJjOlcvfC&#10;cu014HiMK67j3FidaHiNtsSvzuuUbRyBZL2OCuXd1veHIly5p2aWMqfBy9Py77lk3/0eq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3Jgx31AAAAAkBAAAPAAAAAAAAAAEAIAAAACIAAABkcnMvZG93&#10;bnJldi54bWxQSwECFAAUAAAACACHTuJAhsx2ZMsBAABmAwAADgAAAAAAAAABACAAAAAjAQAAZHJz&#10;L2Uyb0RvYy54bWxQSwUGAAAAAAYABgBZAQAAYAUAAAAA&#10;">
              <v:fill on="f" focussize="0,0"/>
              <v:stroke weight="1.75pt" color="#005192 [3204]" miterlimit="8" joinstyle="miter"/>
              <v:imagedata o:title=""/>
              <o:lock v:ext="edit" aspectratio="f"/>
            </v:line>
          </w:pict>
        </mc:Fallback>
      </mc:AlternateContent>
    </w:r>
  </w:p>
  <w:p>
    <w:pPr>
      <w:pStyle w:val="6"/>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eastAsia="zh-CN"/>
      </w:rPr>
      <w:t>重庆市巴南区人民政府办公室</w:t>
    </w:r>
    <w:r>
      <w:rPr>
        <w:rFonts w:hint="eastAsia" w:ascii="宋体" w:hAnsi="宋体" w:eastAsia="宋体" w:cs="宋体"/>
        <w:b/>
        <w:bCs/>
        <w:color w:val="005192"/>
        <w:sz w:val="28"/>
        <w:szCs w:val="44"/>
        <w:lang w:val="en-US" w:eastAsia="zh-CN"/>
      </w:rPr>
      <w:t xml:space="preserve">发布 </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重庆市巴南区人民政府</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-2540</wp:posOffset>
              </wp:positionH>
              <wp:positionV relativeFrom="paragraph">
                <wp:posOffset>462280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65408;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BbCb69gBAABvAwAADgAAAGRycy9lMm9Eb2MueG1srVNLjhMx&#10;EN0jcQfLe9KdnknoaaUzi4mGDYJIwAEqbne3Jf/kMunkElwAiR2sWLLnNgzHoOyEGT47hBdlu6r8&#10;yu+5vLo+GM32MqBytuXzWcmZtMJ1yg4tf/P69knNGUawHWhnZcuPEvn1+vGj1eQbWbnR6U4GRiAW&#10;m8m3fIzRN0WBYpQGcOa8tBTsXTAQaRuGogswEbrRRVWWy2JyofPBCYlI3s0pyNcZv++liC/7HmVk&#10;uuV0t5htyHaXbLFeQTME8KMS52vAP9zCgLJU9B5qAxHY26D+gjJKBIeujzPhTOH6XgmZORCbefkH&#10;m1cjeJm5kDjo72XC/wcrXuy3gamu5RVnFgw90d37L9/effz+9QPZu8+fWJVEmjw2lHtjt+G8Q78N&#10;ifGhDybNxIUdWn45v7ioFyT1seX18rJ+etZYHiITFK+r5dWyXHAmKCHHigcMHzA+k86wtGi5VjbR&#10;hwb2zzFSXUr9mZLc1t0qrfMTassm4kAjQQN1Uq8h0tJ44oZ24Az0QC0qYsiQ6LTq0vEEhGHY3ejA&#10;9pDapFzMrzJpKvdbWqq9ARxPeTl0aiCjInWxVob4lWkkN53WlqYk3UmstNq57pg1zH561Zx47sDU&#10;Nr/u8+mHf7L+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L5YoHVAAAACAEAAA8AAAAAAAAAAQAg&#10;AAAAIgAAAGRycy9kb3ducmV2LnhtbFBLAQIUABQAAAAIAIdO4kAFsJvr2AEAAG8DAAAOAAAAAAAA&#10;AAEAIAAAACQBAABkcnMvZTJvRG9jLnhtbFBLBQYAAAAABgAGAFkBAABu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重庆市巴南区人民政府</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8BB573B"/>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7B00D8"/>
    <w:rsid w:val="4BC77339"/>
    <w:rsid w:val="4C9236C5"/>
    <w:rsid w:val="4E250A85"/>
    <w:rsid w:val="4FFD4925"/>
    <w:rsid w:val="505C172E"/>
    <w:rsid w:val="506405EA"/>
    <w:rsid w:val="52F46F0B"/>
    <w:rsid w:val="532B6A10"/>
    <w:rsid w:val="539E4E99"/>
    <w:rsid w:val="53D8014D"/>
    <w:rsid w:val="550C209A"/>
    <w:rsid w:val="55E064E0"/>
    <w:rsid w:val="572C6D10"/>
    <w:rsid w:val="5DC34279"/>
    <w:rsid w:val="5FAF1DB5"/>
    <w:rsid w:val="5FCD688E"/>
    <w:rsid w:val="5FF9BDAA"/>
    <w:rsid w:val="608816D1"/>
    <w:rsid w:val="60EF4E7F"/>
    <w:rsid w:val="648B0A32"/>
    <w:rsid w:val="658F6764"/>
    <w:rsid w:val="665233C1"/>
    <w:rsid w:val="66622BFD"/>
    <w:rsid w:val="675331B9"/>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1"/>
    <w:unhideWhenUsed/>
    <w:qFormat/>
    <w:uiPriority w:val="99"/>
    <w:pPr>
      <w:jc w:val="center"/>
    </w:pPr>
    <w:rPr>
      <w:rFonts w:eastAsia="黑体"/>
      <w:sz w:val="36"/>
      <w:szCs w:val="36"/>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 w:type="paragraph" w:customStyle="1" w:styleId="12">
    <w:name w:val="索引 51"/>
    <w:basedOn w:val="1"/>
    <w:next w:val="1"/>
    <w:qFormat/>
    <w:uiPriority w:val="0"/>
    <w:pPr>
      <w:spacing w:before="100" w:beforeAutospacing="1" w:after="100" w:afterAutospacing="1"/>
      <w:ind w:left="1680"/>
    </w:pPr>
    <w:rPr>
      <w:rFonts w:ascii="Arial" w:hAnsi="Arial" w:cs="Times New Roman (正文 CS 字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办公室</cp:lastModifiedBy>
  <cp:lastPrinted>2022-06-06T16:09:00Z</cp:lastPrinted>
  <dcterms:modified xsi:type="dcterms:W3CDTF">2025-03-14T06:36:10Z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48C61CB29D3F4D9384F5922CF0F7FFB4</vt:lpwstr>
  </property>
</Properties>
</file>