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EA" w:rsidRPr="0003540D" w:rsidRDefault="009D2A99">
      <w:pPr>
        <w:topLinePunct/>
        <w:snapToGrid w:val="0"/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  <w:r w:rsidRPr="007F4D39">
        <w:rPr>
          <w:rFonts w:ascii="仿宋_GB2312" w:eastAsia="仿宋_GB2312" w:hint="eastAsia"/>
          <w:color w:val="000000"/>
          <w:sz w:val="32"/>
          <w:szCs w:val="32"/>
        </w:rPr>
        <w:t>附件1</w:t>
      </w:r>
      <w:bookmarkStart w:id="0" w:name="_GoBack"/>
      <w:bookmarkEnd w:id="0"/>
    </w:p>
    <w:p w:rsidR="00446A8A" w:rsidRDefault="00446A8A" w:rsidP="00446A8A">
      <w:pPr>
        <w:topLinePunct/>
        <w:snapToGrid w:val="0"/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446A8A">
        <w:rPr>
          <w:rFonts w:ascii="方正小标宋_GBK" w:eastAsia="方正小标宋_GBK"/>
          <w:color w:val="000000"/>
          <w:sz w:val="36"/>
          <w:szCs w:val="36"/>
        </w:rPr>
        <w:t>融创</w:t>
      </w:r>
      <w:r w:rsidRPr="00446A8A">
        <w:rPr>
          <w:rFonts w:ascii="方正小标宋_GBK" w:eastAsia="方正小标宋_GBK"/>
          <w:color w:val="000000"/>
          <w:sz w:val="36"/>
          <w:szCs w:val="36"/>
        </w:rPr>
        <w:t>·</w:t>
      </w:r>
      <w:r w:rsidRPr="00446A8A">
        <w:rPr>
          <w:rFonts w:ascii="方正小标宋_GBK" w:eastAsia="方正小标宋_GBK"/>
          <w:color w:val="000000"/>
          <w:sz w:val="36"/>
          <w:szCs w:val="36"/>
        </w:rPr>
        <w:t>启洋二期（界石组团M分区M05-1/04地块）</w:t>
      </w:r>
    </w:p>
    <w:p w:rsidR="00E2163B" w:rsidRPr="00446A8A" w:rsidRDefault="009D2A99" w:rsidP="00446A8A">
      <w:pPr>
        <w:topLinePunct/>
        <w:snapToGrid w:val="0"/>
        <w:spacing w:after="100" w:afterAutospacing="1"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AA7E4D">
        <w:rPr>
          <w:rFonts w:ascii="方正小标宋_GBK" w:eastAsia="方正小标宋_GBK" w:hint="eastAsia"/>
          <w:color w:val="000000"/>
          <w:sz w:val="36"/>
          <w:szCs w:val="36"/>
        </w:rPr>
        <w:t>水土保持方案特性表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0"/>
        <w:gridCol w:w="155"/>
        <w:gridCol w:w="142"/>
        <w:gridCol w:w="556"/>
        <w:gridCol w:w="1145"/>
        <w:gridCol w:w="965"/>
        <w:gridCol w:w="1248"/>
        <w:gridCol w:w="480"/>
        <w:gridCol w:w="493"/>
        <w:gridCol w:w="224"/>
        <w:gridCol w:w="134"/>
        <w:gridCol w:w="718"/>
        <w:gridCol w:w="274"/>
        <w:gridCol w:w="282"/>
        <w:gridCol w:w="710"/>
        <w:gridCol w:w="19"/>
        <w:gridCol w:w="881"/>
      </w:tblGrid>
      <w:tr w:rsidR="00446A8A" w:rsidTr="00BF23DF">
        <w:trPr>
          <w:trHeight w:val="211"/>
          <w:jc w:val="center"/>
        </w:trPr>
        <w:tc>
          <w:tcPr>
            <w:tcW w:w="1373" w:type="dxa"/>
            <w:gridSpan w:val="4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3358" w:type="dxa"/>
            <w:gridSpan w:val="3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融创</w:t>
            </w:r>
            <w:r>
              <w:rPr>
                <w:rFonts w:eastAsia="仿宋_GB2312"/>
                <w:color w:val="auto"/>
                <w:sz w:val="21"/>
                <w:szCs w:val="21"/>
              </w:rPr>
              <w:t>·</w:t>
            </w:r>
            <w:r>
              <w:rPr>
                <w:rFonts w:eastAsia="仿宋_GB2312"/>
                <w:color w:val="auto"/>
                <w:sz w:val="21"/>
                <w:szCs w:val="21"/>
              </w:rPr>
              <w:t>启洋二期（界石组团</w:t>
            </w:r>
            <w:r>
              <w:rPr>
                <w:rFonts w:eastAsia="仿宋_GB2312"/>
                <w:color w:val="auto"/>
                <w:sz w:val="21"/>
                <w:szCs w:val="21"/>
              </w:rPr>
              <w:t>M</w:t>
            </w:r>
            <w:r>
              <w:rPr>
                <w:rFonts w:eastAsia="仿宋_GB2312"/>
                <w:color w:val="auto"/>
                <w:sz w:val="21"/>
                <w:szCs w:val="21"/>
              </w:rPr>
              <w:t>分区</w:t>
            </w:r>
            <w:r>
              <w:rPr>
                <w:rFonts w:eastAsia="仿宋_GB2312"/>
                <w:color w:val="auto"/>
                <w:sz w:val="21"/>
                <w:szCs w:val="21"/>
              </w:rPr>
              <w:t>M05-1/04</w:t>
            </w:r>
            <w:r>
              <w:rPr>
                <w:rFonts w:eastAsia="仿宋_GB2312"/>
                <w:color w:val="auto"/>
                <w:sz w:val="21"/>
                <w:szCs w:val="21"/>
              </w:rPr>
              <w:t>地块）</w:t>
            </w:r>
          </w:p>
        </w:tc>
        <w:tc>
          <w:tcPr>
            <w:tcW w:w="2605" w:type="dxa"/>
            <w:gridSpan w:val="7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流域管理机构</w:t>
            </w:r>
          </w:p>
        </w:tc>
        <w:tc>
          <w:tcPr>
            <w:tcW w:w="1610" w:type="dxa"/>
            <w:gridSpan w:val="3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水利部长江水利委员会</w:t>
            </w:r>
          </w:p>
        </w:tc>
      </w:tr>
      <w:tr w:rsidR="00446A8A" w:rsidTr="00BF23DF">
        <w:trPr>
          <w:trHeight w:val="65"/>
          <w:jc w:val="center"/>
        </w:trPr>
        <w:tc>
          <w:tcPr>
            <w:tcW w:w="1373" w:type="dxa"/>
            <w:gridSpan w:val="4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涉及省（市、区）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重庆市</w:t>
            </w:r>
          </w:p>
        </w:tc>
        <w:tc>
          <w:tcPr>
            <w:tcW w:w="2213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涉及地市或个数</w:t>
            </w: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/</w:t>
            </w:r>
          </w:p>
        </w:tc>
        <w:tc>
          <w:tcPr>
            <w:tcW w:w="1632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涉及县或个数</w:t>
            </w:r>
          </w:p>
        </w:tc>
        <w:tc>
          <w:tcPr>
            <w:tcW w:w="1610" w:type="dxa"/>
            <w:gridSpan w:val="3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巴南区</w:t>
            </w:r>
          </w:p>
        </w:tc>
      </w:tr>
      <w:tr w:rsidR="00446A8A" w:rsidTr="00BF23DF">
        <w:trPr>
          <w:trHeight w:val="55"/>
          <w:jc w:val="center"/>
        </w:trPr>
        <w:tc>
          <w:tcPr>
            <w:tcW w:w="675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项目规模</w:t>
            </w:r>
          </w:p>
        </w:tc>
        <w:tc>
          <w:tcPr>
            <w:tcW w:w="4536" w:type="dxa"/>
            <w:gridSpan w:val="6"/>
            <w:shd w:val="clear" w:color="auto" w:fill="auto"/>
            <w:noWrap/>
            <w:vAlign w:val="center"/>
          </w:tcPr>
          <w:p w:rsidR="00446A8A" w:rsidRDefault="00446A8A" w:rsidP="00BF23DF">
            <w:pPr>
              <w:adjustRightInd w:val="0"/>
              <w:snapToGrid w:val="0"/>
              <w:ind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工程规划占地面积</w:t>
            </w:r>
            <w:r>
              <w:rPr>
                <w:rFonts w:eastAsia="仿宋_GB2312"/>
                <w:szCs w:val="21"/>
              </w:rPr>
              <w:t>31639.0 m</w:t>
            </w:r>
            <w:r>
              <w:rPr>
                <w:rFonts w:eastAsia="仿宋_GB2312"/>
                <w:szCs w:val="21"/>
                <w:vertAlign w:val="superscript"/>
              </w:rPr>
              <w:t>2</w:t>
            </w:r>
            <w:r>
              <w:rPr>
                <w:rFonts w:eastAsia="仿宋_GB2312"/>
                <w:szCs w:val="21"/>
              </w:rPr>
              <w:t>，总建筑面积为</w:t>
            </w:r>
            <w:r>
              <w:rPr>
                <w:rFonts w:eastAsia="仿宋_GB2312"/>
                <w:szCs w:val="21"/>
              </w:rPr>
              <w:t>36289.02m</w:t>
            </w:r>
            <w:r>
              <w:rPr>
                <w:rFonts w:eastAsia="仿宋_GB2312"/>
                <w:szCs w:val="21"/>
                <w:vertAlign w:val="superscript"/>
              </w:rPr>
              <w:t>2</w:t>
            </w:r>
            <w:r>
              <w:rPr>
                <w:rFonts w:eastAsia="仿宋_GB2312"/>
                <w:szCs w:val="21"/>
              </w:rPr>
              <w:t>，其中地上建筑面积</w:t>
            </w:r>
            <w:r>
              <w:rPr>
                <w:rFonts w:eastAsia="仿宋_GB2312"/>
                <w:szCs w:val="21"/>
              </w:rPr>
              <w:t>27913.32m</w:t>
            </w:r>
            <w:r>
              <w:rPr>
                <w:rFonts w:eastAsia="仿宋_GB2312"/>
                <w:szCs w:val="21"/>
                <w:vertAlign w:val="superscript"/>
              </w:rPr>
              <w:t>2</w:t>
            </w:r>
            <w:r>
              <w:rPr>
                <w:rFonts w:eastAsia="仿宋_GB2312"/>
                <w:szCs w:val="21"/>
              </w:rPr>
              <w:t>，地下建筑面积</w:t>
            </w:r>
            <w:r>
              <w:rPr>
                <w:rFonts w:eastAsia="仿宋_GB2312"/>
                <w:szCs w:val="21"/>
              </w:rPr>
              <w:t>8375.70m</w:t>
            </w:r>
            <w:r>
              <w:rPr>
                <w:rFonts w:eastAsia="仿宋_GB2312"/>
                <w:szCs w:val="21"/>
                <w:vertAlign w:val="superscript"/>
              </w:rPr>
              <w:t>2</w:t>
            </w:r>
            <w:r>
              <w:rPr>
                <w:rFonts w:eastAsia="仿宋_GB2312"/>
                <w:szCs w:val="21"/>
              </w:rPr>
              <w:t>。主要建设内容包括</w:t>
            </w:r>
            <w:r>
              <w:rPr>
                <w:rFonts w:eastAsia="仿宋_GB2312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栋多层建筑、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栋物管配套用房、小区绿化、地下车库以及相关配套设施。总计容建筑面积</w:t>
            </w:r>
            <w:r>
              <w:rPr>
                <w:rFonts w:eastAsia="仿宋_GB2312"/>
                <w:szCs w:val="21"/>
              </w:rPr>
              <w:t>27913.32m</w:t>
            </w:r>
            <w:r>
              <w:rPr>
                <w:rFonts w:eastAsia="仿宋_GB2312"/>
                <w:szCs w:val="21"/>
                <w:vertAlign w:val="superscript"/>
              </w:rPr>
              <w:t>2</w:t>
            </w:r>
            <w:r>
              <w:rPr>
                <w:rFonts w:eastAsia="仿宋_GB2312"/>
                <w:szCs w:val="21"/>
              </w:rPr>
              <w:t>，容积率</w:t>
            </w:r>
            <w:r>
              <w:rPr>
                <w:rFonts w:eastAsia="仿宋_GB2312"/>
                <w:szCs w:val="21"/>
              </w:rPr>
              <w:t>0.88</w:t>
            </w:r>
            <w:r>
              <w:rPr>
                <w:rFonts w:eastAsia="仿宋_GB2312"/>
                <w:szCs w:val="21"/>
              </w:rPr>
              <w:t>，建筑密度</w:t>
            </w:r>
            <w:r>
              <w:rPr>
                <w:rFonts w:eastAsia="仿宋_GB2312"/>
                <w:szCs w:val="21"/>
              </w:rPr>
              <w:t>28.49%</w:t>
            </w:r>
            <w:r>
              <w:rPr>
                <w:rFonts w:eastAsia="仿宋_GB2312"/>
                <w:szCs w:val="21"/>
              </w:rPr>
              <w:t>，绿地面积</w:t>
            </w:r>
            <w:r>
              <w:rPr>
                <w:rFonts w:eastAsia="仿宋_GB2312"/>
                <w:szCs w:val="21"/>
              </w:rPr>
              <w:t>11086.25m</w:t>
            </w:r>
            <w:r>
              <w:rPr>
                <w:rFonts w:eastAsia="仿宋_GB2312"/>
                <w:szCs w:val="21"/>
                <w:vertAlign w:val="superscript"/>
              </w:rPr>
              <w:t>2</w:t>
            </w:r>
            <w:r>
              <w:rPr>
                <w:rFonts w:eastAsia="仿宋_GB2312"/>
                <w:szCs w:val="21"/>
              </w:rPr>
              <w:t>，绿地率</w:t>
            </w:r>
            <w:r>
              <w:rPr>
                <w:rFonts w:eastAsia="仿宋_GB2312"/>
                <w:szCs w:val="21"/>
              </w:rPr>
              <w:t>35.04%</w:t>
            </w:r>
            <w:r>
              <w:rPr>
                <w:rFonts w:eastAsia="仿宋_GB2312"/>
                <w:szCs w:val="21"/>
              </w:rPr>
              <w:t>。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总投资（万元）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15752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土建投资（万元）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6517</w:t>
            </w:r>
          </w:p>
        </w:tc>
      </w:tr>
      <w:tr w:rsidR="00446A8A" w:rsidTr="00BF23DF">
        <w:trPr>
          <w:trHeight w:val="211"/>
          <w:jc w:val="center"/>
        </w:trPr>
        <w:tc>
          <w:tcPr>
            <w:tcW w:w="1373" w:type="dxa"/>
            <w:gridSpan w:val="4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动工时间</w:t>
            </w:r>
          </w:p>
        </w:tc>
        <w:tc>
          <w:tcPr>
            <w:tcW w:w="114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2021</w:t>
            </w:r>
            <w:r>
              <w:rPr>
                <w:rFonts w:eastAsia="仿宋_GB2312"/>
                <w:color w:val="auto"/>
                <w:sz w:val="21"/>
                <w:szCs w:val="21"/>
              </w:rPr>
              <w:t>年</w:t>
            </w:r>
            <w:r>
              <w:rPr>
                <w:rFonts w:eastAsia="仿宋_GB2312"/>
                <w:color w:val="auto"/>
                <w:sz w:val="21"/>
                <w:szCs w:val="21"/>
              </w:rPr>
              <w:t>5</w:t>
            </w:r>
            <w:r>
              <w:rPr>
                <w:rFonts w:eastAsia="仿宋_GB2312"/>
                <w:color w:val="auto"/>
                <w:sz w:val="21"/>
                <w:szCs w:val="21"/>
              </w:rPr>
              <w:t>月</w:t>
            </w:r>
          </w:p>
        </w:tc>
        <w:tc>
          <w:tcPr>
            <w:tcW w:w="2213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完工时间</w:t>
            </w:r>
          </w:p>
        </w:tc>
        <w:tc>
          <w:tcPr>
            <w:tcW w:w="1197" w:type="dxa"/>
            <w:gridSpan w:val="3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2024</w:t>
            </w:r>
            <w:r>
              <w:rPr>
                <w:rFonts w:eastAsia="仿宋_GB2312"/>
                <w:color w:val="auto"/>
                <w:sz w:val="21"/>
                <w:szCs w:val="21"/>
              </w:rPr>
              <w:t>年</w:t>
            </w:r>
            <w:r>
              <w:rPr>
                <w:rFonts w:eastAsia="仿宋_GB2312"/>
                <w:color w:val="auto"/>
                <w:sz w:val="21"/>
                <w:szCs w:val="21"/>
              </w:rPr>
              <w:t>10</w:t>
            </w:r>
            <w:r>
              <w:rPr>
                <w:rFonts w:eastAsia="仿宋_GB2312"/>
                <w:color w:val="auto"/>
                <w:sz w:val="21"/>
                <w:szCs w:val="21"/>
              </w:rPr>
              <w:t>月</w:t>
            </w:r>
          </w:p>
        </w:tc>
        <w:tc>
          <w:tcPr>
            <w:tcW w:w="1408" w:type="dxa"/>
            <w:gridSpan w:val="4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设计水平年</w:t>
            </w:r>
          </w:p>
        </w:tc>
        <w:tc>
          <w:tcPr>
            <w:tcW w:w="1610" w:type="dxa"/>
            <w:gridSpan w:val="3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2024</w:t>
            </w:r>
            <w:r>
              <w:rPr>
                <w:rFonts w:eastAsia="仿宋_GB2312"/>
                <w:color w:val="auto"/>
                <w:sz w:val="21"/>
                <w:szCs w:val="21"/>
              </w:rPr>
              <w:t>年</w:t>
            </w:r>
          </w:p>
        </w:tc>
      </w:tr>
      <w:tr w:rsidR="00446A8A" w:rsidTr="00BF23DF">
        <w:trPr>
          <w:trHeight w:val="211"/>
          <w:jc w:val="center"/>
        </w:trPr>
        <w:tc>
          <w:tcPr>
            <w:tcW w:w="1373" w:type="dxa"/>
            <w:gridSpan w:val="4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工程占地（</w:t>
            </w:r>
            <w:r>
              <w:rPr>
                <w:rFonts w:eastAsia="仿宋_GB2312"/>
                <w:color w:val="auto"/>
                <w:sz w:val="21"/>
                <w:szCs w:val="21"/>
              </w:rPr>
              <w:t>hm²</w:t>
            </w:r>
            <w:r>
              <w:rPr>
                <w:rFonts w:eastAsia="仿宋_GB2312"/>
                <w:color w:val="auto"/>
                <w:sz w:val="21"/>
                <w:szCs w:val="21"/>
              </w:rPr>
              <w:t>）</w:t>
            </w:r>
          </w:p>
        </w:tc>
        <w:tc>
          <w:tcPr>
            <w:tcW w:w="114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3.16</w:t>
            </w:r>
          </w:p>
        </w:tc>
        <w:tc>
          <w:tcPr>
            <w:tcW w:w="2213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永久占地（</w:t>
            </w:r>
            <w:r>
              <w:rPr>
                <w:rFonts w:eastAsia="仿宋_GB2312"/>
                <w:color w:val="auto"/>
                <w:sz w:val="21"/>
                <w:szCs w:val="21"/>
              </w:rPr>
              <w:t>hm²</w:t>
            </w:r>
            <w:r>
              <w:rPr>
                <w:rFonts w:eastAsia="仿宋_GB2312"/>
                <w:color w:val="auto"/>
                <w:sz w:val="21"/>
                <w:szCs w:val="21"/>
              </w:rPr>
              <w:t>）</w:t>
            </w:r>
          </w:p>
        </w:tc>
        <w:tc>
          <w:tcPr>
            <w:tcW w:w="1197" w:type="dxa"/>
            <w:gridSpan w:val="3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3.16</w:t>
            </w:r>
          </w:p>
        </w:tc>
        <w:tc>
          <w:tcPr>
            <w:tcW w:w="1408" w:type="dxa"/>
            <w:gridSpan w:val="4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临时占地（</w:t>
            </w:r>
            <w:r>
              <w:rPr>
                <w:rFonts w:eastAsia="仿宋_GB2312"/>
                <w:color w:val="auto"/>
                <w:sz w:val="21"/>
                <w:szCs w:val="21"/>
              </w:rPr>
              <w:t>hm²</w:t>
            </w:r>
            <w:r>
              <w:rPr>
                <w:rFonts w:eastAsia="仿宋_GB2312"/>
                <w:color w:val="auto"/>
                <w:sz w:val="21"/>
                <w:szCs w:val="21"/>
              </w:rPr>
              <w:t>）</w:t>
            </w:r>
          </w:p>
        </w:tc>
        <w:tc>
          <w:tcPr>
            <w:tcW w:w="1610" w:type="dxa"/>
            <w:gridSpan w:val="3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0</w:t>
            </w:r>
          </w:p>
        </w:tc>
      </w:tr>
      <w:tr w:rsidR="00446A8A" w:rsidTr="00BF23DF">
        <w:trPr>
          <w:trHeight w:val="187"/>
          <w:jc w:val="center"/>
        </w:trPr>
        <w:tc>
          <w:tcPr>
            <w:tcW w:w="2518" w:type="dxa"/>
            <w:gridSpan w:val="5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土石方量（万</w:t>
            </w:r>
            <w:r>
              <w:rPr>
                <w:rFonts w:eastAsia="仿宋_GB2312"/>
                <w:color w:val="auto"/>
                <w:sz w:val="21"/>
                <w:szCs w:val="21"/>
              </w:rPr>
              <w:t>m³</w:t>
            </w:r>
            <w:r>
              <w:rPr>
                <w:rFonts w:eastAsia="仿宋_GB2312"/>
                <w:color w:val="auto"/>
                <w:sz w:val="21"/>
                <w:szCs w:val="21"/>
              </w:rPr>
              <w:t>）</w:t>
            </w:r>
          </w:p>
        </w:tc>
        <w:tc>
          <w:tcPr>
            <w:tcW w:w="2213" w:type="dxa"/>
            <w:gridSpan w:val="2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挖方</w:t>
            </w:r>
          </w:p>
        </w:tc>
        <w:tc>
          <w:tcPr>
            <w:tcW w:w="1197" w:type="dxa"/>
            <w:gridSpan w:val="3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填方</w:t>
            </w:r>
          </w:p>
        </w:tc>
        <w:tc>
          <w:tcPr>
            <w:tcW w:w="1408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借方</w:t>
            </w:r>
          </w:p>
        </w:tc>
        <w:tc>
          <w:tcPr>
            <w:tcW w:w="1610" w:type="dxa"/>
            <w:gridSpan w:val="3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余方</w:t>
            </w:r>
          </w:p>
        </w:tc>
      </w:tr>
      <w:tr w:rsidR="00446A8A" w:rsidTr="00BF23DF">
        <w:trPr>
          <w:trHeight w:val="65"/>
          <w:jc w:val="center"/>
        </w:trPr>
        <w:tc>
          <w:tcPr>
            <w:tcW w:w="2518" w:type="dxa"/>
            <w:gridSpan w:val="5"/>
            <w:vMerge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</w:p>
        </w:tc>
        <w:tc>
          <w:tcPr>
            <w:tcW w:w="2213" w:type="dxa"/>
            <w:gridSpan w:val="2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16.68</w:t>
            </w:r>
          </w:p>
        </w:tc>
        <w:tc>
          <w:tcPr>
            <w:tcW w:w="1197" w:type="dxa"/>
            <w:gridSpan w:val="3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5.05</w:t>
            </w:r>
          </w:p>
        </w:tc>
        <w:tc>
          <w:tcPr>
            <w:tcW w:w="1408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/</w:t>
            </w:r>
          </w:p>
        </w:tc>
        <w:tc>
          <w:tcPr>
            <w:tcW w:w="1610" w:type="dxa"/>
            <w:gridSpan w:val="3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11.63</w:t>
            </w:r>
          </w:p>
        </w:tc>
      </w:tr>
      <w:tr w:rsidR="00446A8A" w:rsidTr="00BF23DF">
        <w:trPr>
          <w:trHeight w:val="65"/>
          <w:jc w:val="center"/>
        </w:trPr>
        <w:tc>
          <w:tcPr>
            <w:tcW w:w="2518" w:type="dxa"/>
            <w:gridSpan w:val="5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重点防治区名称</w:t>
            </w:r>
          </w:p>
        </w:tc>
        <w:tc>
          <w:tcPr>
            <w:tcW w:w="6428" w:type="dxa"/>
            <w:gridSpan w:val="1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重庆市水土流失重点预防区、巴南区水土流失重点预防区</w:t>
            </w:r>
          </w:p>
        </w:tc>
      </w:tr>
      <w:tr w:rsidR="00446A8A" w:rsidTr="00BF23DF">
        <w:trPr>
          <w:trHeight w:val="211"/>
          <w:jc w:val="center"/>
        </w:trPr>
        <w:tc>
          <w:tcPr>
            <w:tcW w:w="2518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地貌类型</w:t>
            </w:r>
          </w:p>
        </w:tc>
        <w:tc>
          <w:tcPr>
            <w:tcW w:w="2213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剥蚀斜坡、残丘地貌</w:t>
            </w:r>
          </w:p>
        </w:tc>
        <w:tc>
          <w:tcPr>
            <w:tcW w:w="2605" w:type="dxa"/>
            <w:gridSpan w:val="7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水土保持区划</w:t>
            </w:r>
          </w:p>
        </w:tc>
        <w:tc>
          <w:tcPr>
            <w:tcW w:w="1610" w:type="dxa"/>
            <w:gridSpan w:val="3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西南紫色土区</w:t>
            </w:r>
          </w:p>
        </w:tc>
      </w:tr>
      <w:tr w:rsidR="00446A8A" w:rsidTr="00BF23DF">
        <w:trPr>
          <w:trHeight w:val="211"/>
          <w:jc w:val="center"/>
        </w:trPr>
        <w:tc>
          <w:tcPr>
            <w:tcW w:w="2518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土壤侵蚀类型</w:t>
            </w:r>
          </w:p>
        </w:tc>
        <w:tc>
          <w:tcPr>
            <w:tcW w:w="2213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水力侵蚀</w:t>
            </w:r>
          </w:p>
        </w:tc>
        <w:tc>
          <w:tcPr>
            <w:tcW w:w="2605" w:type="dxa"/>
            <w:gridSpan w:val="7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土壤侵蚀强度</w:t>
            </w:r>
          </w:p>
        </w:tc>
        <w:tc>
          <w:tcPr>
            <w:tcW w:w="1610" w:type="dxa"/>
            <w:gridSpan w:val="3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轻度</w:t>
            </w:r>
          </w:p>
        </w:tc>
      </w:tr>
      <w:tr w:rsidR="00446A8A" w:rsidTr="00BF23DF">
        <w:trPr>
          <w:trHeight w:val="211"/>
          <w:jc w:val="center"/>
        </w:trPr>
        <w:tc>
          <w:tcPr>
            <w:tcW w:w="2518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防治责任范围面积（</w:t>
            </w:r>
            <w:r>
              <w:rPr>
                <w:rFonts w:eastAsia="仿宋_GB2312"/>
                <w:color w:val="auto"/>
                <w:sz w:val="21"/>
                <w:szCs w:val="21"/>
              </w:rPr>
              <w:t>hm²</w:t>
            </w:r>
            <w:r>
              <w:rPr>
                <w:rFonts w:eastAsia="仿宋_GB2312"/>
                <w:color w:val="auto"/>
                <w:sz w:val="21"/>
                <w:szCs w:val="21"/>
              </w:rPr>
              <w:t>）</w:t>
            </w:r>
          </w:p>
        </w:tc>
        <w:tc>
          <w:tcPr>
            <w:tcW w:w="2213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3.16</w:t>
            </w:r>
          </w:p>
        </w:tc>
        <w:tc>
          <w:tcPr>
            <w:tcW w:w="2605" w:type="dxa"/>
            <w:gridSpan w:val="7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容许土壤流失量</w:t>
            </w:r>
            <w:r>
              <w:rPr>
                <w:rFonts w:eastAsia="仿宋_GB2312"/>
                <w:color w:val="auto"/>
                <w:sz w:val="21"/>
                <w:szCs w:val="21"/>
              </w:rPr>
              <w:t>[t/(km²·a)]</w:t>
            </w:r>
          </w:p>
        </w:tc>
        <w:tc>
          <w:tcPr>
            <w:tcW w:w="1610" w:type="dxa"/>
            <w:gridSpan w:val="3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500</w:t>
            </w:r>
          </w:p>
        </w:tc>
      </w:tr>
      <w:tr w:rsidR="00446A8A" w:rsidTr="00BF23DF">
        <w:trPr>
          <w:trHeight w:val="211"/>
          <w:jc w:val="center"/>
        </w:trPr>
        <w:tc>
          <w:tcPr>
            <w:tcW w:w="2518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水土流失预测总量（</w:t>
            </w:r>
            <w:r>
              <w:rPr>
                <w:rFonts w:eastAsia="仿宋_GB2312"/>
                <w:color w:val="auto"/>
                <w:sz w:val="21"/>
                <w:szCs w:val="21"/>
              </w:rPr>
              <w:t>t</w:t>
            </w:r>
            <w:r>
              <w:rPr>
                <w:rFonts w:eastAsia="仿宋_GB2312"/>
                <w:color w:val="auto"/>
                <w:sz w:val="21"/>
                <w:szCs w:val="21"/>
              </w:rPr>
              <w:t>）</w:t>
            </w:r>
          </w:p>
        </w:tc>
        <w:tc>
          <w:tcPr>
            <w:tcW w:w="2213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 w:hint="eastAsia"/>
                <w:color w:val="auto"/>
                <w:sz w:val="21"/>
                <w:szCs w:val="21"/>
              </w:rPr>
              <w:t>948</w:t>
            </w:r>
          </w:p>
        </w:tc>
        <w:tc>
          <w:tcPr>
            <w:tcW w:w="2605" w:type="dxa"/>
            <w:gridSpan w:val="7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新增水土流失量（</w:t>
            </w:r>
            <w:r>
              <w:rPr>
                <w:rFonts w:eastAsia="仿宋_GB2312"/>
                <w:color w:val="auto"/>
                <w:sz w:val="21"/>
                <w:szCs w:val="21"/>
              </w:rPr>
              <w:t>t</w:t>
            </w:r>
            <w:r>
              <w:rPr>
                <w:rFonts w:eastAsia="仿宋_GB2312"/>
                <w:color w:val="auto"/>
                <w:sz w:val="21"/>
                <w:szCs w:val="21"/>
              </w:rPr>
              <w:t>）</w:t>
            </w:r>
          </w:p>
        </w:tc>
        <w:tc>
          <w:tcPr>
            <w:tcW w:w="1610" w:type="dxa"/>
            <w:gridSpan w:val="3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 w:hint="eastAsia"/>
                <w:color w:val="auto"/>
                <w:sz w:val="21"/>
                <w:szCs w:val="21"/>
              </w:rPr>
              <w:t>580</w:t>
            </w:r>
          </w:p>
        </w:tc>
      </w:tr>
      <w:tr w:rsidR="00446A8A" w:rsidTr="00BF23DF">
        <w:trPr>
          <w:trHeight w:val="211"/>
          <w:jc w:val="center"/>
        </w:trPr>
        <w:tc>
          <w:tcPr>
            <w:tcW w:w="2518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水土流失防治标准执行等级</w:t>
            </w:r>
          </w:p>
        </w:tc>
        <w:tc>
          <w:tcPr>
            <w:tcW w:w="6428" w:type="dxa"/>
            <w:gridSpan w:val="1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西南紫色土区建设类一级标准</w:t>
            </w:r>
          </w:p>
        </w:tc>
      </w:tr>
      <w:tr w:rsidR="00446A8A" w:rsidTr="00BF23DF">
        <w:trPr>
          <w:trHeight w:val="211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防治</w:t>
            </w:r>
          </w:p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1998" w:type="dxa"/>
            <w:gridSpan w:val="4"/>
            <w:shd w:val="clear" w:color="auto" w:fill="auto"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水土流失治理度（</w:t>
            </w:r>
            <w:r>
              <w:rPr>
                <w:rFonts w:eastAsia="仿宋_GB2312"/>
                <w:color w:val="auto"/>
                <w:sz w:val="21"/>
                <w:szCs w:val="21"/>
              </w:rPr>
              <w:t>%</w:t>
            </w:r>
            <w:r>
              <w:rPr>
                <w:rFonts w:eastAsia="仿宋_GB2312"/>
                <w:color w:val="auto"/>
                <w:sz w:val="21"/>
                <w:szCs w:val="21"/>
              </w:rPr>
              <w:t>）</w:t>
            </w:r>
          </w:p>
        </w:tc>
        <w:tc>
          <w:tcPr>
            <w:tcW w:w="2213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97</w:t>
            </w:r>
          </w:p>
        </w:tc>
        <w:tc>
          <w:tcPr>
            <w:tcW w:w="2049" w:type="dxa"/>
            <w:gridSpan w:val="5"/>
            <w:shd w:val="clear" w:color="auto" w:fill="auto"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土壤流失控制比</w:t>
            </w:r>
          </w:p>
        </w:tc>
        <w:tc>
          <w:tcPr>
            <w:tcW w:w="2166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1.0</w:t>
            </w:r>
          </w:p>
        </w:tc>
      </w:tr>
      <w:tr w:rsidR="00446A8A" w:rsidTr="00BF23DF">
        <w:trPr>
          <w:trHeight w:val="169"/>
          <w:jc w:val="center"/>
        </w:trPr>
        <w:tc>
          <w:tcPr>
            <w:tcW w:w="520" w:type="dxa"/>
            <w:vMerge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</w:p>
        </w:tc>
        <w:tc>
          <w:tcPr>
            <w:tcW w:w="1998" w:type="dxa"/>
            <w:gridSpan w:val="4"/>
            <w:shd w:val="clear" w:color="auto" w:fill="auto"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渣土防护率（</w:t>
            </w:r>
            <w:r>
              <w:rPr>
                <w:rFonts w:eastAsia="仿宋_GB2312"/>
                <w:color w:val="auto"/>
                <w:sz w:val="21"/>
                <w:szCs w:val="21"/>
              </w:rPr>
              <w:t>%</w:t>
            </w:r>
            <w:r>
              <w:rPr>
                <w:rFonts w:eastAsia="仿宋_GB2312"/>
                <w:color w:val="auto"/>
                <w:sz w:val="21"/>
                <w:szCs w:val="21"/>
              </w:rPr>
              <w:t>）</w:t>
            </w:r>
          </w:p>
        </w:tc>
        <w:tc>
          <w:tcPr>
            <w:tcW w:w="2213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94</w:t>
            </w:r>
          </w:p>
        </w:tc>
        <w:tc>
          <w:tcPr>
            <w:tcW w:w="2049" w:type="dxa"/>
            <w:gridSpan w:val="5"/>
            <w:shd w:val="clear" w:color="auto" w:fill="auto"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表土保护率（</w:t>
            </w:r>
            <w:r>
              <w:rPr>
                <w:rFonts w:eastAsia="仿宋_GB2312"/>
                <w:color w:val="auto"/>
                <w:sz w:val="21"/>
                <w:szCs w:val="21"/>
              </w:rPr>
              <w:t>%</w:t>
            </w:r>
            <w:r>
              <w:rPr>
                <w:rFonts w:eastAsia="仿宋_GB2312"/>
                <w:color w:val="auto"/>
                <w:sz w:val="21"/>
                <w:szCs w:val="21"/>
              </w:rPr>
              <w:t>）</w:t>
            </w:r>
          </w:p>
        </w:tc>
        <w:tc>
          <w:tcPr>
            <w:tcW w:w="2166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/</w:t>
            </w:r>
          </w:p>
        </w:tc>
      </w:tr>
      <w:tr w:rsidR="00446A8A" w:rsidTr="00BF23DF">
        <w:trPr>
          <w:trHeight w:val="65"/>
          <w:jc w:val="center"/>
        </w:trPr>
        <w:tc>
          <w:tcPr>
            <w:tcW w:w="520" w:type="dxa"/>
            <w:vMerge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</w:p>
        </w:tc>
        <w:tc>
          <w:tcPr>
            <w:tcW w:w="1998" w:type="dxa"/>
            <w:gridSpan w:val="4"/>
            <w:shd w:val="clear" w:color="auto" w:fill="auto"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林草植被恢复率（</w:t>
            </w:r>
            <w:r>
              <w:rPr>
                <w:rFonts w:eastAsia="仿宋_GB2312"/>
                <w:color w:val="auto"/>
                <w:sz w:val="21"/>
                <w:szCs w:val="21"/>
              </w:rPr>
              <w:t>%</w:t>
            </w:r>
            <w:r>
              <w:rPr>
                <w:rFonts w:eastAsia="仿宋_GB2312"/>
                <w:color w:val="auto"/>
                <w:sz w:val="21"/>
                <w:szCs w:val="21"/>
              </w:rPr>
              <w:t>）</w:t>
            </w:r>
          </w:p>
        </w:tc>
        <w:tc>
          <w:tcPr>
            <w:tcW w:w="2213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97</w:t>
            </w:r>
          </w:p>
        </w:tc>
        <w:tc>
          <w:tcPr>
            <w:tcW w:w="2049" w:type="dxa"/>
            <w:gridSpan w:val="5"/>
            <w:shd w:val="clear" w:color="auto" w:fill="auto"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林草覆盖率（</w:t>
            </w:r>
            <w:r>
              <w:rPr>
                <w:rFonts w:eastAsia="仿宋_GB2312"/>
                <w:color w:val="auto"/>
                <w:sz w:val="21"/>
                <w:szCs w:val="21"/>
              </w:rPr>
              <w:t>%</w:t>
            </w:r>
            <w:r>
              <w:rPr>
                <w:rFonts w:eastAsia="仿宋_GB2312"/>
                <w:color w:val="auto"/>
                <w:sz w:val="21"/>
                <w:szCs w:val="21"/>
              </w:rPr>
              <w:t>）</w:t>
            </w:r>
          </w:p>
        </w:tc>
        <w:tc>
          <w:tcPr>
            <w:tcW w:w="2166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27</w:t>
            </w:r>
          </w:p>
        </w:tc>
      </w:tr>
      <w:tr w:rsidR="00446A8A" w:rsidTr="00BF23DF">
        <w:trPr>
          <w:trHeight w:val="211"/>
          <w:jc w:val="center"/>
        </w:trPr>
        <w:tc>
          <w:tcPr>
            <w:tcW w:w="817" w:type="dxa"/>
            <w:gridSpan w:val="3"/>
            <w:vMerge w:val="restart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防治</w:t>
            </w:r>
          </w:p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措施及工程量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防治分区</w:t>
            </w:r>
          </w:p>
        </w:tc>
        <w:tc>
          <w:tcPr>
            <w:tcW w:w="2213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工程措施</w:t>
            </w:r>
          </w:p>
        </w:tc>
        <w:tc>
          <w:tcPr>
            <w:tcW w:w="2049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植物措施</w:t>
            </w:r>
          </w:p>
        </w:tc>
        <w:tc>
          <w:tcPr>
            <w:tcW w:w="2166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临时措施</w:t>
            </w:r>
          </w:p>
        </w:tc>
      </w:tr>
      <w:tr w:rsidR="00446A8A" w:rsidTr="00BF23DF">
        <w:trPr>
          <w:trHeight w:val="327"/>
          <w:jc w:val="center"/>
        </w:trPr>
        <w:tc>
          <w:tcPr>
            <w:tcW w:w="817" w:type="dxa"/>
            <w:gridSpan w:val="3"/>
            <w:vMerge/>
            <w:shd w:val="clear" w:color="auto" w:fill="auto"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项目建设防治区</w:t>
            </w:r>
          </w:p>
        </w:tc>
        <w:tc>
          <w:tcPr>
            <w:tcW w:w="2213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主体已列：雨水管网</w:t>
            </w:r>
            <w:r>
              <w:rPr>
                <w:rFonts w:eastAsia="仿宋_GB2312"/>
                <w:color w:val="auto"/>
                <w:sz w:val="21"/>
                <w:szCs w:val="21"/>
              </w:rPr>
              <w:t>1096.3m</w:t>
            </w:r>
            <w:r>
              <w:rPr>
                <w:rFonts w:eastAsia="仿宋_GB2312"/>
                <w:color w:val="auto"/>
                <w:sz w:val="21"/>
                <w:szCs w:val="21"/>
              </w:rPr>
              <w:t>、透水铺装</w:t>
            </w:r>
            <w:r>
              <w:rPr>
                <w:rFonts w:eastAsia="仿宋_GB2312"/>
                <w:color w:val="auto"/>
                <w:sz w:val="21"/>
                <w:szCs w:val="21"/>
              </w:rPr>
              <w:t>680m</w:t>
            </w:r>
            <w:r>
              <w:rPr>
                <w:rFonts w:eastAsia="仿宋_GB2312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49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主体已列：绿化景观</w:t>
            </w:r>
            <w:r>
              <w:rPr>
                <w:rFonts w:eastAsia="仿宋_GB2312"/>
                <w:color w:val="auto"/>
                <w:sz w:val="21"/>
                <w:szCs w:val="21"/>
              </w:rPr>
              <w:t>11086.25m</w:t>
            </w:r>
            <w:r>
              <w:rPr>
                <w:rFonts w:eastAsia="仿宋_GB2312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66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jc w:val="lef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主体已列：车辆冲洗池</w:t>
            </w:r>
            <w:r>
              <w:rPr>
                <w:rFonts w:eastAsia="仿宋_GB2312"/>
                <w:color w:val="auto"/>
                <w:sz w:val="21"/>
                <w:szCs w:val="21"/>
              </w:rPr>
              <w:t>1</w:t>
            </w:r>
            <w:r>
              <w:rPr>
                <w:rFonts w:eastAsia="仿宋_GB2312"/>
                <w:color w:val="auto"/>
                <w:sz w:val="21"/>
                <w:szCs w:val="21"/>
              </w:rPr>
              <w:t>座、临时沉砂池</w:t>
            </w:r>
            <w:r>
              <w:rPr>
                <w:rFonts w:eastAsia="仿宋_GB2312"/>
                <w:color w:val="auto"/>
                <w:sz w:val="21"/>
                <w:szCs w:val="21"/>
              </w:rPr>
              <w:t>1</w:t>
            </w:r>
            <w:r>
              <w:rPr>
                <w:rFonts w:eastAsia="仿宋_GB2312"/>
                <w:color w:val="auto"/>
                <w:sz w:val="21"/>
                <w:szCs w:val="21"/>
              </w:rPr>
              <w:t>座</w:t>
            </w:r>
          </w:p>
          <w:p w:rsidR="00446A8A" w:rsidRDefault="00446A8A" w:rsidP="00BF23DF">
            <w:pPr>
              <w:pStyle w:val="100"/>
              <w:spacing w:line="240" w:lineRule="exact"/>
              <w:jc w:val="lef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方案新增：临时排水沟</w:t>
            </w:r>
            <w:r>
              <w:rPr>
                <w:rFonts w:eastAsia="仿宋_GB2312"/>
                <w:color w:val="auto"/>
                <w:sz w:val="21"/>
                <w:szCs w:val="21"/>
              </w:rPr>
              <w:t>556m</w:t>
            </w:r>
            <w:r>
              <w:rPr>
                <w:rFonts w:eastAsia="仿宋_GB2312"/>
                <w:color w:val="auto"/>
                <w:sz w:val="21"/>
                <w:szCs w:val="21"/>
              </w:rPr>
              <w:t>、彩布条</w:t>
            </w:r>
            <w:r>
              <w:rPr>
                <w:rFonts w:eastAsia="仿宋_GB2312"/>
                <w:color w:val="auto"/>
                <w:sz w:val="21"/>
                <w:szCs w:val="21"/>
              </w:rPr>
              <w:t>10000m</w:t>
            </w:r>
            <w:r>
              <w:rPr>
                <w:rFonts w:eastAsia="仿宋_GB2312"/>
                <w:color w:val="auto"/>
                <w:sz w:val="21"/>
                <w:szCs w:val="21"/>
                <w:vertAlign w:val="superscript"/>
              </w:rPr>
              <w:t>2</w:t>
            </w:r>
          </w:p>
        </w:tc>
      </w:tr>
      <w:tr w:rsidR="00446A8A" w:rsidTr="00BF23DF">
        <w:trPr>
          <w:trHeight w:val="90"/>
          <w:jc w:val="center"/>
        </w:trPr>
        <w:tc>
          <w:tcPr>
            <w:tcW w:w="251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投资（万元）</w:t>
            </w:r>
          </w:p>
        </w:tc>
        <w:tc>
          <w:tcPr>
            <w:tcW w:w="2213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54.17</w:t>
            </w:r>
            <w:r>
              <w:rPr>
                <w:rFonts w:eastAsia="仿宋_GB2312"/>
                <w:color w:val="auto"/>
                <w:sz w:val="21"/>
                <w:szCs w:val="21"/>
              </w:rPr>
              <w:t>（新增</w:t>
            </w:r>
            <w:r>
              <w:rPr>
                <w:rFonts w:eastAsia="仿宋_GB2312"/>
                <w:color w:val="auto"/>
                <w:sz w:val="21"/>
                <w:szCs w:val="21"/>
              </w:rPr>
              <w:t>0</w:t>
            </w:r>
            <w:r>
              <w:rPr>
                <w:rFonts w:eastAsia="仿宋_GB2312"/>
                <w:color w:val="auto"/>
                <w:sz w:val="21"/>
                <w:szCs w:val="21"/>
              </w:rPr>
              <w:t>）</w:t>
            </w:r>
          </w:p>
        </w:tc>
        <w:tc>
          <w:tcPr>
            <w:tcW w:w="2049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168.95</w:t>
            </w:r>
            <w:r>
              <w:rPr>
                <w:rFonts w:eastAsia="仿宋_GB2312"/>
                <w:color w:val="auto"/>
                <w:sz w:val="21"/>
                <w:szCs w:val="21"/>
              </w:rPr>
              <w:t>（新增</w:t>
            </w:r>
            <w:r>
              <w:rPr>
                <w:rFonts w:eastAsia="仿宋_GB2312"/>
                <w:color w:val="auto"/>
                <w:sz w:val="21"/>
                <w:szCs w:val="21"/>
              </w:rPr>
              <w:t>0</w:t>
            </w:r>
            <w:r>
              <w:rPr>
                <w:rFonts w:eastAsia="仿宋_GB2312"/>
                <w:color w:val="auto"/>
                <w:sz w:val="21"/>
                <w:szCs w:val="21"/>
              </w:rPr>
              <w:t>）</w:t>
            </w:r>
          </w:p>
        </w:tc>
        <w:tc>
          <w:tcPr>
            <w:tcW w:w="2166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18</w:t>
            </w:r>
            <w:r>
              <w:rPr>
                <w:rFonts w:eastAsia="仿宋_GB2312"/>
                <w:color w:val="auto"/>
                <w:sz w:val="21"/>
                <w:szCs w:val="21"/>
              </w:rPr>
              <w:t>（新增</w:t>
            </w:r>
            <w:r>
              <w:rPr>
                <w:rFonts w:eastAsia="仿宋_GB2312"/>
                <w:color w:val="auto"/>
                <w:sz w:val="21"/>
                <w:szCs w:val="21"/>
              </w:rPr>
              <w:t>15.2</w:t>
            </w:r>
            <w:r>
              <w:rPr>
                <w:rFonts w:eastAsia="仿宋_GB2312"/>
                <w:color w:val="auto"/>
                <w:sz w:val="21"/>
                <w:szCs w:val="21"/>
              </w:rPr>
              <w:t>）</w:t>
            </w:r>
          </w:p>
        </w:tc>
      </w:tr>
      <w:tr w:rsidR="00446A8A" w:rsidTr="00BF23DF">
        <w:trPr>
          <w:trHeight w:val="228"/>
          <w:jc w:val="center"/>
        </w:trPr>
        <w:tc>
          <w:tcPr>
            <w:tcW w:w="2518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水土保持总投资（万元）</w:t>
            </w:r>
          </w:p>
        </w:tc>
        <w:tc>
          <w:tcPr>
            <w:tcW w:w="2213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268.67</w:t>
            </w:r>
            <w:r>
              <w:rPr>
                <w:rFonts w:eastAsia="仿宋_GB2312"/>
                <w:color w:val="auto"/>
                <w:sz w:val="21"/>
                <w:szCs w:val="21"/>
              </w:rPr>
              <w:t>（新增</w:t>
            </w:r>
            <w:r>
              <w:rPr>
                <w:rFonts w:eastAsia="仿宋_GB2312"/>
                <w:color w:val="auto"/>
                <w:sz w:val="21"/>
                <w:szCs w:val="21"/>
              </w:rPr>
              <w:t>42.75</w:t>
            </w:r>
            <w:r>
              <w:rPr>
                <w:rFonts w:eastAsia="仿宋_GB2312"/>
                <w:color w:val="auto"/>
                <w:sz w:val="21"/>
                <w:szCs w:val="21"/>
              </w:rPr>
              <w:t>）</w:t>
            </w:r>
          </w:p>
        </w:tc>
        <w:tc>
          <w:tcPr>
            <w:tcW w:w="2049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独立费用（万元）</w:t>
            </w:r>
          </w:p>
        </w:tc>
        <w:tc>
          <w:tcPr>
            <w:tcW w:w="2166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11</w:t>
            </w:r>
          </w:p>
        </w:tc>
      </w:tr>
      <w:tr w:rsidR="00446A8A" w:rsidTr="00BF23DF">
        <w:trPr>
          <w:trHeight w:val="211"/>
          <w:jc w:val="center"/>
        </w:trPr>
        <w:tc>
          <w:tcPr>
            <w:tcW w:w="2518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监理费（万元）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0.5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监测费（万元）</w:t>
            </w:r>
          </w:p>
        </w:tc>
        <w:tc>
          <w:tcPr>
            <w:tcW w:w="2049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9.95</w:t>
            </w:r>
          </w:p>
        </w:tc>
        <w:tc>
          <w:tcPr>
            <w:tcW w:w="1285" w:type="dxa"/>
            <w:gridSpan w:val="4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补偿费（元）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44294.6</w:t>
            </w:r>
          </w:p>
        </w:tc>
      </w:tr>
      <w:tr w:rsidR="00446A8A" w:rsidTr="00BF23DF">
        <w:trPr>
          <w:trHeight w:val="306"/>
          <w:jc w:val="center"/>
        </w:trPr>
        <w:tc>
          <w:tcPr>
            <w:tcW w:w="2518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方案编制单位</w:t>
            </w:r>
          </w:p>
        </w:tc>
        <w:tc>
          <w:tcPr>
            <w:tcW w:w="2213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重庆浩力环境工程股份有限公司</w:t>
            </w:r>
          </w:p>
        </w:tc>
        <w:tc>
          <w:tcPr>
            <w:tcW w:w="2049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建设单位</w:t>
            </w:r>
          </w:p>
        </w:tc>
        <w:tc>
          <w:tcPr>
            <w:tcW w:w="2166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重庆融创启洋置业有限公司</w:t>
            </w:r>
          </w:p>
        </w:tc>
      </w:tr>
      <w:tr w:rsidR="00446A8A" w:rsidTr="00BF23DF">
        <w:trPr>
          <w:trHeight w:val="211"/>
          <w:jc w:val="center"/>
        </w:trPr>
        <w:tc>
          <w:tcPr>
            <w:tcW w:w="2518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法定代表人</w:t>
            </w:r>
          </w:p>
        </w:tc>
        <w:tc>
          <w:tcPr>
            <w:tcW w:w="2213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邱建明</w:t>
            </w:r>
          </w:p>
        </w:tc>
        <w:tc>
          <w:tcPr>
            <w:tcW w:w="2049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法定代表人</w:t>
            </w:r>
          </w:p>
        </w:tc>
        <w:tc>
          <w:tcPr>
            <w:tcW w:w="2166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李景申</w:t>
            </w:r>
          </w:p>
        </w:tc>
      </w:tr>
      <w:tr w:rsidR="00446A8A" w:rsidTr="00BF23DF">
        <w:trPr>
          <w:trHeight w:val="422"/>
          <w:jc w:val="center"/>
        </w:trPr>
        <w:tc>
          <w:tcPr>
            <w:tcW w:w="2518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2213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重庆市渝中区中山三路</w:t>
            </w:r>
            <w:r>
              <w:rPr>
                <w:rFonts w:eastAsia="仿宋_GB2312"/>
                <w:color w:val="auto"/>
                <w:sz w:val="21"/>
                <w:szCs w:val="21"/>
              </w:rPr>
              <w:t>168</w:t>
            </w:r>
            <w:r>
              <w:rPr>
                <w:rFonts w:eastAsia="仿宋_GB2312"/>
                <w:color w:val="auto"/>
                <w:sz w:val="21"/>
                <w:szCs w:val="21"/>
              </w:rPr>
              <w:t>号第</w:t>
            </w:r>
            <w:r>
              <w:rPr>
                <w:rFonts w:eastAsia="仿宋_GB2312"/>
                <w:color w:val="auto"/>
                <w:sz w:val="21"/>
                <w:szCs w:val="21"/>
              </w:rPr>
              <w:t>19</w:t>
            </w:r>
            <w:r>
              <w:rPr>
                <w:rFonts w:eastAsia="仿宋_GB2312"/>
                <w:color w:val="auto"/>
                <w:sz w:val="21"/>
                <w:szCs w:val="21"/>
              </w:rPr>
              <w:t>层</w:t>
            </w:r>
          </w:p>
        </w:tc>
        <w:tc>
          <w:tcPr>
            <w:tcW w:w="2049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2166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重庆市巴南区南泉街道迎宾路</w:t>
            </w:r>
            <w:r>
              <w:rPr>
                <w:rFonts w:eastAsia="仿宋_GB2312"/>
                <w:color w:val="auto"/>
                <w:sz w:val="21"/>
                <w:szCs w:val="21"/>
              </w:rPr>
              <w:t>99</w:t>
            </w:r>
            <w:r>
              <w:rPr>
                <w:rFonts w:eastAsia="仿宋_GB2312"/>
                <w:color w:val="auto"/>
                <w:sz w:val="21"/>
                <w:szCs w:val="21"/>
              </w:rPr>
              <w:t>号</w:t>
            </w:r>
          </w:p>
        </w:tc>
      </w:tr>
      <w:tr w:rsidR="00446A8A" w:rsidTr="00BF23DF">
        <w:trPr>
          <w:trHeight w:val="211"/>
          <w:jc w:val="center"/>
        </w:trPr>
        <w:tc>
          <w:tcPr>
            <w:tcW w:w="2518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2213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400015</w:t>
            </w:r>
          </w:p>
        </w:tc>
        <w:tc>
          <w:tcPr>
            <w:tcW w:w="2049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2166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400056</w:t>
            </w:r>
          </w:p>
        </w:tc>
      </w:tr>
      <w:tr w:rsidR="00446A8A" w:rsidTr="00BF23DF">
        <w:trPr>
          <w:trHeight w:val="211"/>
          <w:jc w:val="center"/>
        </w:trPr>
        <w:tc>
          <w:tcPr>
            <w:tcW w:w="2518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联系人及电话</w:t>
            </w:r>
          </w:p>
        </w:tc>
        <w:tc>
          <w:tcPr>
            <w:tcW w:w="2213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徐新媚</w:t>
            </w:r>
            <w:r>
              <w:rPr>
                <w:rFonts w:eastAsia="仿宋_GB2312"/>
                <w:color w:val="auto"/>
                <w:sz w:val="21"/>
                <w:szCs w:val="21"/>
              </w:rPr>
              <w:t>/1887</w:t>
            </w:r>
            <w:r w:rsidR="00F9417E">
              <w:rPr>
                <w:rFonts w:eastAsia="仿宋_GB2312" w:hint="eastAsia"/>
                <w:color w:val="auto"/>
                <w:sz w:val="21"/>
                <w:szCs w:val="21"/>
              </w:rPr>
              <w:t>*****</w:t>
            </w:r>
            <w:r>
              <w:rPr>
                <w:rFonts w:eastAsia="仿宋_GB2312"/>
                <w:color w:val="auto"/>
                <w:sz w:val="21"/>
                <w:szCs w:val="21"/>
              </w:rPr>
              <w:t>27</w:t>
            </w:r>
          </w:p>
        </w:tc>
        <w:tc>
          <w:tcPr>
            <w:tcW w:w="2049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联系人及电话</w:t>
            </w:r>
          </w:p>
        </w:tc>
        <w:tc>
          <w:tcPr>
            <w:tcW w:w="2166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 w:hint="eastAsia"/>
                <w:color w:val="auto"/>
                <w:sz w:val="21"/>
                <w:szCs w:val="21"/>
              </w:rPr>
              <w:t>刘娅娜</w:t>
            </w:r>
            <w:r>
              <w:rPr>
                <w:rFonts w:eastAsia="仿宋_GB2312"/>
                <w:color w:val="auto"/>
                <w:sz w:val="21"/>
                <w:szCs w:val="21"/>
              </w:rPr>
              <w:t>/</w:t>
            </w:r>
            <w:r>
              <w:rPr>
                <w:rFonts w:eastAsia="仿宋_GB2312" w:hint="eastAsia"/>
                <w:color w:val="auto"/>
                <w:sz w:val="21"/>
                <w:szCs w:val="21"/>
              </w:rPr>
              <w:t>1858</w:t>
            </w:r>
            <w:r w:rsidR="00F9417E">
              <w:rPr>
                <w:rFonts w:eastAsia="仿宋_GB2312" w:hint="eastAsia"/>
                <w:color w:val="auto"/>
                <w:sz w:val="21"/>
                <w:szCs w:val="21"/>
              </w:rPr>
              <w:t>*****</w:t>
            </w:r>
            <w:r>
              <w:rPr>
                <w:rFonts w:eastAsia="仿宋_GB2312" w:hint="eastAsia"/>
                <w:color w:val="auto"/>
                <w:sz w:val="21"/>
                <w:szCs w:val="21"/>
              </w:rPr>
              <w:t>92</w:t>
            </w:r>
          </w:p>
        </w:tc>
      </w:tr>
      <w:tr w:rsidR="00446A8A" w:rsidTr="00BF23DF">
        <w:trPr>
          <w:trHeight w:val="228"/>
          <w:jc w:val="center"/>
        </w:trPr>
        <w:tc>
          <w:tcPr>
            <w:tcW w:w="2518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统一社会信用代码</w:t>
            </w:r>
          </w:p>
        </w:tc>
        <w:tc>
          <w:tcPr>
            <w:tcW w:w="2213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915001067815898656</w:t>
            </w:r>
          </w:p>
        </w:tc>
        <w:tc>
          <w:tcPr>
            <w:tcW w:w="2049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统一社会信用代码</w:t>
            </w:r>
          </w:p>
        </w:tc>
        <w:tc>
          <w:tcPr>
            <w:tcW w:w="2166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91500113077289738N</w:t>
            </w:r>
          </w:p>
        </w:tc>
      </w:tr>
      <w:tr w:rsidR="00446A8A" w:rsidTr="00BF23DF">
        <w:trPr>
          <w:trHeight w:val="211"/>
          <w:jc w:val="center"/>
        </w:trPr>
        <w:tc>
          <w:tcPr>
            <w:tcW w:w="2518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电子信箱</w:t>
            </w:r>
          </w:p>
        </w:tc>
        <w:tc>
          <w:tcPr>
            <w:tcW w:w="2213" w:type="dxa"/>
            <w:gridSpan w:val="2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907192381@qq.com</w:t>
            </w:r>
          </w:p>
        </w:tc>
        <w:tc>
          <w:tcPr>
            <w:tcW w:w="2049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电子信箱</w:t>
            </w:r>
          </w:p>
        </w:tc>
        <w:tc>
          <w:tcPr>
            <w:tcW w:w="2166" w:type="dxa"/>
            <w:gridSpan w:val="5"/>
            <w:shd w:val="clear" w:color="auto" w:fill="auto"/>
            <w:noWrap/>
            <w:vAlign w:val="center"/>
          </w:tcPr>
          <w:p w:rsidR="00446A8A" w:rsidRDefault="00446A8A" w:rsidP="00BF23DF">
            <w:pPr>
              <w:pStyle w:val="100"/>
              <w:spacing w:line="240" w:lineRule="exact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/</w:t>
            </w:r>
          </w:p>
        </w:tc>
      </w:tr>
    </w:tbl>
    <w:p w:rsidR="006909CF" w:rsidRPr="00891AAB" w:rsidRDefault="006909CF" w:rsidP="009A4C19">
      <w:pPr>
        <w:pStyle w:val="a0"/>
        <w:spacing w:before="0" w:after="0" w:line="240" w:lineRule="exact"/>
      </w:pPr>
    </w:p>
    <w:sectPr w:rsidR="006909CF" w:rsidRPr="00891AAB" w:rsidSect="006909CF">
      <w:footerReference w:type="default" r:id="rId7"/>
      <w:pgSz w:w="11906" w:h="16838"/>
      <w:pgMar w:top="720" w:right="720" w:bottom="720" w:left="72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9AB" w:rsidRDefault="00A719AB" w:rsidP="00CF5AEA">
      <w:r>
        <w:separator/>
      </w:r>
    </w:p>
  </w:endnote>
  <w:endnote w:type="continuationSeparator" w:id="1">
    <w:p w:rsidR="00A719AB" w:rsidRDefault="00A719AB" w:rsidP="00CF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EA" w:rsidRDefault="00E070BE" w:rsidP="00F65ED4">
    <w:pPr>
      <w:snapToGrid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CF5AEA" w:rsidRPr="00F65ED4" w:rsidRDefault="00E070BE">
                <w:pPr>
                  <w:snapToGrid w:val="0"/>
                  <w:rPr>
                    <w:sz w:val="24"/>
                  </w:rPr>
                </w:pPr>
                <w:r w:rsidRPr="00F65ED4">
                  <w:rPr>
                    <w:rFonts w:hint="eastAsia"/>
                    <w:sz w:val="24"/>
                  </w:rPr>
                  <w:fldChar w:fldCharType="begin"/>
                </w:r>
                <w:r w:rsidR="009D2A99" w:rsidRPr="00F65ED4">
                  <w:rPr>
                    <w:rFonts w:hint="eastAsia"/>
                    <w:sz w:val="24"/>
                  </w:rPr>
                  <w:instrText xml:space="preserve"> PAGE  \* MERGEFORMAT </w:instrText>
                </w:r>
                <w:r w:rsidRPr="00F65ED4">
                  <w:rPr>
                    <w:rFonts w:hint="eastAsia"/>
                    <w:sz w:val="24"/>
                  </w:rPr>
                  <w:fldChar w:fldCharType="separate"/>
                </w:r>
                <w:r w:rsidR="00F9417E">
                  <w:rPr>
                    <w:noProof/>
                    <w:sz w:val="24"/>
                  </w:rPr>
                  <w:t>4</w:t>
                </w:r>
                <w:r w:rsidRPr="00F65ED4"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9AB" w:rsidRDefault="00A719AB" w:rsidP="00CF5AEA">
      <w:r>
        <w:separator/>
      </w:r>
    </w:p>
  </w:footnote>
  <w:footnote w:type="continuationSeparator" w:id="1">
    <w:p w:rsidR="00A719AB" w:rsidRDefault="00A719AB" w:rsidP="00CF5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0E7A19"/>
    <w:rsid w:val="000053FB"/>
    <w:rsid w:val="0003540D"/>
    <w:rsid w:val="00060C72"/>
    <w:rsid w:val="00080414"/>
    <w:rsid w:val="00096285"/>
    <w:rsid w:val="000A697D"/>
    <w:rsid w:val="000B6BBF"/>
    <w:rsid w:val="000B7841"/>
    <w:rsid w:val="00121B61"/>
    <w:rsid w:val="0014654A"/>
    <w:rsid w:val="00146782"/>
    <w:rsid w:val="001A12EB"/>
    <w:rsid w:val="001A63F7"/>
    <w:rsid w:val="001B1144"/>
    <w:rsid w:val="001B5FFA"/>
    <w:rsid w:val="001D311E"/>
    <w:rsid w:val="001E5671"/>
    <w:rsid w:val="00207AD5"/>
    <w:rsid w:val="0024182C"/>
    <w:rsid w:val="00290BEF"/>
    <w:rsid w:val="002B3428"/>
    <w:rsid w:val="002D3378"/>
    <w:rsid w:val="002E267D"/>
    <w:rsid w:val="00320BD1"/>
    <w:rsid w:val="003351DF"/>
    <w:rsid w:val="00355111"/>
    <w:rsid w:val="00356D07"/>
    <w:rsid w:val="003615A3"/>
    <w:rsid w:val="00376888"/>
    <w:rsid w:val="00391644"/>
    <w:rsid w:val="003A6976"/>
    <w:rsid w:val="003B5574"/>
    <w:rsid w:val="003E1FF5"/>
    <w:rsid w:val="003E27C8"/>
    <w:rsid w:val="004058FE"/>
    <w:rsid w:val="0042470F"/>
    <w:rsid w:val="00425689"/>
    <w:rsid w:val="004350C1"/>
    <w:rsid w:val="004375BF"/>
    <w:rsid w:val="00446A8A"/>
    <w:rsid w:val="00452248"/>
    <w:rsid w:val="00474141"/>
    <w:rsid w:val="0048555F"/>
    <w:rsid w:val="004A0A22"/>
    <w:rsid w:val="004A61BE"/>
    <w:rsid w:val="004E2FDC"/>
    <w:rsid w:val="00503A76"/>
    <w:rsid w:val="00513B49"/>
    <w:rsid w:val="005161C9"/>
    <w:rsid w:val="00551BCA"/>
    <w:rsid w:val="00557BA7"/>
    <w:rsid w:val="0057417D"/>
    <w:rsid w:val="00593BC8"/>
    <w:rsid w:val="00594AB4"/>
    <w:rsid w:val="005C2D4E"/>
    <w:rsid w:val="005D0CF8"/>
    <w:rsid w:val="005E250F"/>
    <w:rsid w:val="006007B7"/>
    <w:rsid w:val="006629AA"/>
    <w:rsid w:val="006828EF"/>
    <w:rsid w:val="006909CF"/>
    <w:rsid w:val="006A32D0"/>
    <w:rsid w:val="006F4912"/>
    <w:rsid w:val="00705B3D"/>
    <w:rsid w:val="007369F0"/>
    <w:rsid w:val="00743DF9"/>
    <w:rsid w:val="00765393"/>
    <w:rsid w:val="0078189D"/>
    <w:rsid w:val="00793C4B"/>
    <w:rsid w:val="0079619D"/>
    <w:rsid w:val="007D091D"/>
    <w:rsid w:val="007F4D39"/>
    <w:rsid w:val="007F573D"/>
    <w:rsid w:val="00821372"/>
    <w:rsid w:val="008257D3"/>
    <w:rsid w:val="0083060A"/>
    <w:rsid w:val="008446CA"/>
    <w:rsid w:val="00845A31"/>
    <w:rsid w:val="0086183B"/>
    <w:rsid w:val="00886F19"/>
    <w:rsid w:val="00890574"/>
    <w:rsid w:val="00891AAB"/>
    <w:rsid w:val="00896B58"/>
    <w:rsid w:val="008C158F"/>
    <w:rsid w:val="008C1E95"/>
    <w:rsid w:val="008C4F05"/>
    <w:rsid w:val="008C4FA3"/>
    <w:rsid w:val="008C546B"/>
    <w:rsid w:val="00904745"/>
    <w:rsid w:val="009938F6"/>
    <w:rsid w:val="009A4C19"/>
    <w:rsid w:val="009B1867"/>
    <w:rsid w:val="009C33D0"/>
    <w:rsid w:val="009D1726"/>
    <w:rsid w:val="009D2A99"/>
    <w:rsid w:val="009E4685"/>
    <w:rsid w:val="009F1AE7"/>
    <w:rsid w:val="00A0287E"/>
    <w:rsid w:val="00A508D9"/>
    <w:rsid w:val="00A655FC"/>
    <w:rsid w:val="00A719AB"/>
    <w:rsid w:val="00AA7E4D"/>
    <w:rsid w:val="00AA7FD8"/>
    <w:rsid w:val="00AD270F"/>
    <w:rsid w:val="00AD2AFD"/>
    <w:rsid w:val="00AD7656"/>
    <w:rsid w:val="00AF08AA"/>
    <w:rsid w:val="00B1499E"/>
    <w:rsid w:val="00B21E64"/>
    <w:rsid w:val="00B345A2"/>
    <w:rsid w:val="00B435B5"/>
    <w:rsid w:val="00B458DB"/>
    <w:rsid w:val="00B51AA7"/>
    <w:rsid w:val="00B52AA7"/>
    <w:rsid w:val="00B80073"/>
    <w:rsid w:val="00BA64DB"/>
    <w:rsid w:val="00C36C06"/>
    <w:rsid w:val="00C53672"/>
    <w:rsid w:val="00C71846"/>
    <w:rsid w:val="00C80F6E"/>
    <w:rsid w:val="00C93123"/>
    <w:rsid w:val="00C95023"/>
    <w:rsid w:val="00CA4C03"/>
    <w:rsid w:val="00CA5A36"/>
    <w:rsid w:val="00CC384C"/>
    <w:rsid w:val="00CD515C"/>
    <w:rsid w:val="00CE1887"/>
    <w:rsid w:val="00CF5AEA"/>
    <w:rsid w:val="00D066BB"/>
    <w:rsid w:val="00D31B17"/>
    <w:rsid w:val="00D804E0"/>
    <w:rsid w:val="00D952EA"/>
    <w:rsid w:val="00D96AEE"/>
    <w:rsid w:val="00DB2412"/>
    <w:rsid w:val="00DC3B25"/>
    <w:rsid w:val="00DC6E13"/>
    <w:rsid w:val="00DD6BD5"/>
    <w:rsid w:val="00DF280B"/>
    <w:rsid w:val="00DF2ECE"/>
    <w:rsid w:val="00DF4970"/>
    <w:rsid w:val="00E070BE"/>
    <w:rsid w:val="00E2163B"/>
    <w:rsid w:val="00E25C13"/>
    <w:rsid w:val="00E46C76"/>
    <w:rsid w:val="00E61742"/>
    <w:rsid w:val="00E83857"/>
    <w:rsid w:val="00E8539B"/>
    <w:rsid w:val="00EA49DC"/>
    <w:rsid w:val="00ED1EFE"/>
    <w:rsid w:val="00EE1B28"/>
    <w:rsid w:val="00F3353C"/>
    <w:rsid w:val="00F40563"/>
    <w:rsid w:val="00F545F0"/>
    <w:rsid w:val="00F65ED4"/>
    <w:rsid w:val="00F7726B"/>
    <w:rsid w:val="00F9417E"/>
    <w:rsid w:val="00FA3929"/>
    <w:rsid w:val="00FB3AD0"/>
    <w:rsid w:val="00FB5D26"/>
    <w:rsid w:val="00FF1CCD"/>
    <w:rsid w:val="270E7A19"/>
    <w:rsid w:val="34EA32F3"/>
    <w:rsid w:val="536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F5A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5A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5741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4"/>
    <w:rsid w:val="00CF5AEA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paragraph" w:customStyle="1" w:styleId="a4">
    <w:name w:val="节标题"/>
    <w:basedOn w:val="a"/>
    <w:next w:val="a"/>
    <w:qFormat/>
    <w:rsid w:val="00CF5AEA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5">
    <w:name w:val="footer"/>
    <w:basedOn w:val="a"/>
    <w:rsid w:val="00CF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F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表格文字 + 宋体"/>
    <w:basedOn w:val="a8"/>
    <w:qFormat/>
    <w:rsid w:val="00CF5AEA"/>
    <w:pPr>
      <w:widowControl/>
      <w:tabs>
        <w:tab w:val="left" w:pos="-24"/>
      </w:tabs>
      <w:spacing w:line="0" w:lineRule="atLeast"/>
      <w:textAlignment w:val="baseline"/>
    </w:pPr>
    <w:rPr>
      <w:rFonts w:ascii="宋体" w:hAnsi="宋体"/>
      <w:kern w:val="0"/>
      <w:szCs w:val="20"/>
      <w:u w:color="000000"/>
    </w:rPr>
  </w:style>
  <w:style w:type="paragraph" w:customStyle="1" w:styleId="a8">
    <w:name w:val="表格文字"/>
    <w:basedOn w:val="a"/>
    <w:next w:val="a"/>
    <w:rsid w:val="00CF5AEA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10">
    <w:name w:val="水保1级"/>
    <w:basedOn w:val="1"/>
    <w:rsid w:val="00CF5AEA"/>
    <w:pPr>
      <w:jc w:val="center"/>
    </w:pPr>
    <w:rPr>
      <w:sz w:val="36"/>
    </w:rPr>
  </w:style>
  <w:style w:type="character" w:customStyle="1" w:styleId="3Char">
    <w:name w:val="标题 3 Char"/>
    <w:basedOn w:val="a1"/>
    <w:link w:val="3"/>
    <w:rsid w:val="0057417D"/>
    <w:rPr>
      <w:b/>
      <w:bCs/>
      <w:kern w:val="2"/>
      <w:sz w:val="32"/>
      <w:szCs w:val="32"/>
    </w:rPr>
  </w:style>
  <w:style w:type="paragraph" w:customStyle="1" w:styleId="a9">
    <w:name w:val="表格文本"/>
    <w:basedOn w:val="a"/>
    <w:link w:val="Char"/>
    <w:qFormat/>
    <w:rsid w:val="002E267D"/>
    <w:pPr>
      <w:jc w:val="center"/>
    </w:pPr>
    <w:rPr>
      <w:rFonts w:eastAsia="仿宋_GB2312"/>
      <w:kern w:val="0"/>
      <w:sz w:val="20"/>
      <w:szCs w:val="21"/>
      <w:lang w:val="zh-CN"/>
    </w:rPr>
  </w:style>
  <w:style w:type="character" w:customStyle="1" w:styleId="Char">
    <w:name w:val="表格文本 Char"/>
    <w:link w:val="a9"/>
    <w:qFormat/>
    <w:rsid w:val="002E267D"/>
    <w:rPr>
      <w:rFonts w:eastAsia="仿宋_GB2312"/>
      <w:szCs w:val="21"/>
      <w:lang w:val="zh-CN"/>
    </w:rPr>
  </w:style>
  <w:style w:type="paragraph" w:customStyle="1" w:styleId="Default">
    <w:name w:val="Default"/>
    <w:qFormat/>
    <w:rsid w:val="004A61BE"/>
    <w:pPr>
      <w:widowControl w:val="0"/>
      <w:autoSpaceDE w:val="0"/>
      <w:autoSpaceDN w:val="0"/>
      <w:adjustRightInd w:val="0"/>
    </w:pPr>
    <w:rPr>
      <w:rFonts w:ascii="宋体" w:eastAsia="仿宋" w:hAnsi="宋体" w:cs="宋体"/>
      <w:color w:val="000000"/>
      <w:sz w:val="24"/>
      <w:szCs w:val="24"/>
    </w:rPr>
  </w:style>
  <w:style w:type="paragraph" w:customStyle="1" w:styleId="aa">
    <w:name w:val="表格内容"/>
    <w:basedOn w:val="a"/>
    <w:next w:val="a"/>
    <w:link w:val="CharChar"/>
    <w:qFormat/>
    <w:rsid w:val="008446CA"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character" w:customStyle="1" w:styleId="CharChar">
    <w:name w:val="表格内容 Char Char"/>
    <w:link w:val="aa"/>
    <w:qFormat/>
    <w:rsid w:val="008446CA"/>
    <w:rPr>
      <w:rFonts w:hAnsi="宋体"/>
      <w:sz w:val="21"/>
      <w:szCs w:val="21"/>
    </w:rPr>
  </w:style>
  <w:style w:type="table" w:customStyle="1" w:styleId="11">
    <w:name w:val="水保表格1"/>
    <w:basedOn w:val="a2"/>
    <w:uiPriority w:val="99"/>
    <w:qFormat/>
    <w:rsid w:val="002B3428"/>
    <w:pPr>
      <w:widowControl w:val="0"/>
      <w:spacing w:line="240" w:lineRule="atLeast"/>
      <w:jc w:val="center"/>
    </w:pPr>
    <w:rPr>
      <w:rFonts w:eastAsia="仿宋_GB2312" w:cstheme="minorBidi"/>
      <w:sz w:val="18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customStyle="1" w:styleId="100">
    <w:name w:val="表格10号"/>
    <w:basedOn w:val="a"/>
    <w:qFormat/>
    <w:rsid w:val="00446A8A"/>
    <w:pPr>
      <w:keepLines/>
      <w:adjustRightInd w:val="0"/>
      <w:snapToGrid w:val="0"/>
      <w:jc w:val="center"/>
    </w:pPr>
    <w:rPr>
      <w:rFonts w:eastAsia="仿宋"/>
      <w:bCs/>
      <w:color w:val="000000"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63</cp:revision>
  <cp:lastPrinted>2023-01-09T09:34:00Z</cp:lastPrinted>
  <dcterms:created xsi:type="dcterms:W3CDTF">2021-08-06T08:41:00Z</dcterms:created>
  <dcterms:modified xsi:type="dcterms:W3CDTF">2023-01-16T03:23:00Z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