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shd w:val="clear" w:fill="FFFFFF"/>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重庆市巴南区人民政府办公室</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关于印发巴南区助企纾困提能十条措施的</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通 知</w:t>
      </w:r>
    </w:p>
    <w:p>
      <w:pPr>
        <w:pStyle w:val="8"/>
        <w:keepNext w:val="0"/>
        <w:keepLines w:val="0"/>
        <w:widowControl/>
        <w:suppressLineNumbers w:val="0"/>
        <w:shd w:val="clear" w:fill="FFFFFF"/>
        <w:spacing w:before="0" w:beforeAutospacing="0" w:after="0" w:afterAutospacing="0" w:line="570" w:lineRule="atLeast"/>
        <w:ind w:left="0" w:firstLine="0"/>
        <w:jc w:val="center"/>
        <w:rPr>
          <w:rFonts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巴南府办发〔2022〕37</w:t>
      </w:r>
      <w:bookmarkStart w:id="0" w:name="_GoBack"/>
      <w:bookmarkEnd w:id="0"/>
      <w:r>
        <w:rPr>
          <w:rFonts w:hint="eastAsia" w:ascii="仿宋" w:hAnsi="仿宋" w:eastAsia="仿宋" w:cs="仿宋"/>
          <w:i w:val="0"/>
          <w:caps w:val="0"/>
          <w:color w:val="000000"/>
          <w:spacing w:val="0"/>
          <w:sz w:val="31"/>
          <w:szCs w:val="31"/>
          <w:shd w:val="clear" w:fill="FFFFFF"/>
        </w:rPr>
        <w:t>号</w:t>
      </w:r>
    </w:p>
    <w:p>
      <w:pPr>
        <w:pStyle w:val="8"/>
        <w:keepNext w:val="0"/>
        <w:keepLines w:val="0"/>
        <w:widowControl/>
        <w:suppressLineNumbers w:val="0"/>
        <w:shd w:val="clear" w:fill="FFFFFF"/>
        <w:spacing w:before="0" w:beforeAutospacing="0" w:after="0" w:afterAutospacing="0" w:line="570" w:lineRule="atLeast"/>
        <w:ind w:left="0" w:firstLine="0"/>
        <w:jc w:val="both"/>
        <w:rPr>
          <w:rFonts w:ascii="黑体" w:hAnsi="宋体" w:eastAsia="黑体" w:cs="黑体"/>
          <w:i w:val="0"/>
          <w:caps w:val="0"/>
          <w:color w:val="000000"/>
          <w:spacing w:val="0"/>
          <w:sz w:val="31"/>
          <w:szCs w:val="31"/>
        </w:rPr>
      </w:pPr>
      <w:r>
        <w:rPr>
          <w:rFonts w:ascii="黑体" w:hAnsi="宋体" w:eastAsia="黑体" w:cs="黑体"/>
          <w:i w:val="0"/>
          <w:caps w:val="0"/>
          <w:color w:val="000000"/>
          <w:spacing w:val="0"/>
          <w:sz w:val="31"/>
          <w:szCs w:val="31"/>
          <w:shd w:val="clear" w:fill="FFFFFF"/>
        </w:rPr>
        <w:t> </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各镇人民政府、街道办事处，区政府各部门，区属国有公司，有关单位：</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0"/>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《巴南区助企纾困提能十条措施》（以下简称《巴十条》）已经</w:t>
      </w:r>
      <w:r>
        <w:rPr>
          <w:rFonts w:hint="eastAsia" w:ascii="方正仿宋_GBK" w:hAnsi="方正仿宋_GBK" w:eastAsia="方正仿宋_GBK" w:cs="方正仿宋_GBK"/>
          <w:snapToGrid w:val="0"/>
          <w:color w:val="000000"/>
          <w:kern w:val="0"/>
          <w:sz w:val="32"/>
          <w:szCs w:val="32"/>
        </w:rPr>
        <w:t>区政府同意</w:t>
      </w:r>
      <w:r>
        <w:rPr>
          <w:rFonts w:hint="eastAsia" w:ascii="方正仿宋_GBK" w:hAnsi="方正仿宋_GBK" w:eastAsia="方正仿宋_GBK" w:cs="方正仿宋_GBK"/>
          <w:snapToGrid w:val="0"/>
          <w:kern w:val="0"/>
          <w:sz w:val="32"/>
          <w:szCs w:val="32"/>
        </w:rPr>
        <w:t>，现印发给你们，并提出如下要求，请一并抓好贯彻落实。实施过程中遇到的问题，请径向区发展改革委反映。</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0"/>
        <w:textAlignment w:val="auto"/>
        <w:outlineLvl w:val="9"/>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一、高度重视。</w:t>
      </w:r>
      <w:r>
        <w:rPr>
          <w:rFonts w:hint="eastAsia" w:ascii="方正仿宋_GBK" w:hAnsi="方正仿宋_GBK" w:eastAsia="方正仿宋_GBK" w:cs="方正仿宋_GBK"/>
          <w:snapToGrid w:val="0"/>
          <w:kern w:val="0"/>
          <w:sz w:val="32"/>
          <w:szCs w:val="32"/>
        </w:rPr>
        <w:t>《巴十条》是区委、区政府深入学习贯彻中央经济工作会议精神，落实“政策发力适当靠前”的具体举措，是回应辖区企业政策诉求、稳定企业预期、提振实体经济的有效途径。各单位要高度重视，对标全年经济社会发展目标，积极支持企业纾困解难，促进我区市场主体持续健康发展。</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0"/>
        <w:textAlignment w:val="auto"/>
        <w:outlineLvl w:val="9"/>
        <w:rPr>
          <w:rFonts w:hint="eastAsia" w:ascii="方正仿宋_GBK" w:hAnsi="方正仿宋_GBK" w:eastAsia="方正仿宋_GBK" w:cs="方正仿宋_GBK"/>
          <w:snapToGrid w:val="0"/>
          <w:color w:val="0000FF"/>
          <w:kern w:val="0"/>
          <w:sz w:val="32"/>
          <w:szCs w:val="32"/>
        </w:rPr>
      </w:pPr>
      <w:r>
        <w:rPr>
          <w:rFonts w:hint="eastAsia" w:ascii="方正黑体_GBK" w:hAnsi="方正黑体_GBK" w:eastAsia="方正黑体_GBK" w:cs="方正黑体_GBK"/>
          <w:snapToGrid w:val="0"/>
          <w:kern w:val="0"/>
          <w:sz w:val="32"/>
          <w:szCs w:val="32"/>
        </w:rPr>
        <w:t>二、严格执行。</w:t>
      </w:r>
      <w:r>
        <w:rPr>
          <w:rFonts w:hint="eastAsia" w:ascii="方正仿宋_GBK" w:hAnsi="方正仿宋_GBK" w:eastAsia="方正仿宋_GBK" w:cs="方正仿宋_GBK"/>
          <w:snapToGrid w:val="0"/>
          <w:kern w:val="0"/>
          <w:sz w:val="32"/>
          <w:szCs w:val="32"/>
        </w:rPr>
        <w:t>各行业主管部门要充分运用企业信用信息，按照减流程、减要件、分批次兑现的原则及时制定实施细则，明确申请指南和操作指引，指导企业理解好、执行好、落实好《巴十条》。要大力依托“巴巴实”平台为企业提供政策智能匹配、精准推送、线上申报、线上审批、兑付信息线上反馈“一站式”服务，确保惠企政策精准直达快享。区发展改革委要加强统筹协调，每季度将各部门落实政策措施情况及效果汇总向区政府报告。</w:t>
      </w:r>
    </w:p>
    <w:p>
      <w:pPr>
        <w:pStyle w:val="7"/>
        <w:keepNext w:val="0"/>
        <w:keepLines w:val="0"/>
        <w:pageBreakBefore w:val="0"/>
        <w:widowControl w:val="0"/>
        <w:kinsoku/>
        <w:wordWrap/>
        <w:overflowPunct/>
        <w:topLinePunct w:val="0"/>
        <w:autoSpaceDE/>
        <w:autoSpaceDN/>
        <w:bidi w:val="0"/>
        <w:adjustRightInd/>
        <w:snapToGrid/>
        <w:spacing w:after="0" w:line="580" w:lineRule="exact"/>
        <w:ind w:firstLine="680" w:firstLineChars="0"/>
        <w:textAlignment w:val="auto"/>
        <w:outlineLvl w:val="9"/>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lang w:val="en-US" w:eastAsia="zh-CN" w:bidi="ar-SA"/>
        </w:rPr>
        <w:t>三、大力宣传。</w:t>
      </w:r>
      <w:r>
        <w:rPr>
          <w:rFonts w:hint="eastAsia" w:ascii="方正仿宋_GBK" w:hAnsi="方正仿宋_GBK" w:eastAsia="方正仿宋_GBK" w:cs="方正仿宋_GBK"/>
          <w:snapToGrid w:val="0"/>
          <w:kern w:val="0"/>
          <w:sz w:val="32"/>
          <w:szCs w:val="32"/>
        </w:rPr>
        <w:t>各行业主管部门要及时组织开展线上线下多形式、多渠道的宣传推广，扩大政策知晓面。区工商联要充分发挥各行业协会联系企业的桥梁和纽带作用，指导帮助企业用足用好相关扶持措施，切实营造助企纾困促进全区经济社会发展的良好氛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3840" w:firstLineChars="1200"/>
        <w:textAlignment w:val="auto"/>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重庆市巴南区人民政府办公室</w:t>
      </w:r>
    </w:p>
    <w:p>
      <w:pPr>
        <w:keepNext w:val="0"/>
        <w:keepLines w:val="0"/>
        <w:pageBreakBefore w:val="0"/>
        <w:widowControl w:val="0"/>
        <w:kinsoku/>
        <w:wordWrap/>
        <w:overflowPunct/>
        <w:topLinePunct w:val="0"/>
        <w:autoSpaceDE/>
        <w:autoSpaceDN/>
        <w:bidi w:val="0"/>
        <w:adjustRightInd/>
        <w:snapToGrid/>
        <w:spacing w:line="580" w:lineRule="exact"/>
        <w:ind w:left="0" w:leftChars="0" w:right="840" w:rightChars="400" w:firstLine="4537" w:firstLineChars="1418"/>
        <w:textAlignment w:val="auto"/>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2022年4月</w:t>
      </w:r>
      <w:r>
        <w:rPr>
          <w:rFonts w:hint="eastAsia" w:ascii="方正仿宋_GBK" w:hAnsi="方正仿宋_GBK" w:eastAsia="方正仿宋_GBK" w:cs="方正仿宋_GBK"/>
          <w:snapToGrid w:val="0"/>
          <w:kern w:val="0"/>
          <w:sz w:val="32"/>
          <w:szCs w:val="32"/>
          <w:lang w:val="en-US" w:eastAsia="zh-CN"/>
        </w:rPr>
        <w:t>27</w:t>
      </w:r>
      <w:r>
        <w:rPr>
          <w:rFonts w:hint="eastAsia" w:ascii="方正仿宋_GBK" w:hAnsi="方正仿宋_GBK" w:eastAsia="方正仿宋_GBK" w:cs="方正仿宋_GBK"/>
          <w:snapToGrid w:val="0"/>
          <w:kern w:val="0"/>
          <w:sz w:val="32"/>
          <w:szCs w:val="32"/>
        </w:rPr>
        <w:t>日</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80"/>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（此件公开发布）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方正小标宋_GBK"/>
          <w:snapToGrid w:val="0"/>
          <w:kern w:val="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方正小标宋_GBK"/>
          <w:snapToGrid w:val="0"/>
          <w:kern w:val="0"/>
          <w:sz w:val="44"/>
          <w:szCs w:val="44"/>
        </w:rPr>
      </w:pPr>
      <w:r>
        <w:rPr>
          <w:rFonts w:eastAsia="方正小标宋_GBK"/>
          <w:snapToGrid w:val="0"/>
          <w:kern w:val="0"/>
          <w:sz w:val="44"/>
          <w:szCs w:val="44"/>
        </w:rPr>
        <w:t>巴南区助企纾困提能十条措施</w:t>
      </w: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textAlignment w:val="auto"/>
        <w:rPr>
          <w:snapToGrid w:val="0"/>
          <w:color w:val="002060"/>
          <w:kern w:val="0"/>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24"/>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为落实“六稳六保”任务和市委、市政府的决策部署，进一步优化“巴巴实”营商环境，切实为在区企业解难纾困、添力赋能，促进我区市场主体持续健康发展，特制定以下政策措施。</w:t>
      </w:r>
    </w:p>
    <w:p>
      <w:pPr>
        <w:keepNext w:val="0"/>
        <w:keepLines w:val="0"/>
        <w:pageBreakBefore w:val="0"/>
        <w:widowControl w:val="0"/>
        <w:kinsoku/>
        <w:wordWrap/>
        <w:overflowPunct/>
        <w:topLinePunct w:val="0"/>
        <w:autoSpaceDE/>
        <w:autoSpaceDN/>
        <w:bidi w:val="0"/>
        <w:adjustRightInd/>
        <w:snapToGrid/>
        <w:spacing w:line="620" w:lineRule="exact"/>
        <w:ind w:firstLine="624"/>
        <w:textAlignment w:val="auto"/>
        <w:outlineLvl w:val="9"/>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一、推出“巴实贷”信贷产品。</w:t>
      </w:r>
      <w:r>
        <w:rPr>
          <w:rFonts w:hint="eastAsia" w:ascii="方正仿宋_GBK" w:hAnsi="方正仿宋_GBK" w:eastAsia="方正仿宋_GBK" w:cs="方正仿宋_GBK"/>
          <w:snapToGrid w:val="0"/>
          <w:kern w:val="0"/>
          <w:sz w:val="32"/>
          <w:szCs w:val="32"/>
        </w:rPr>
        <w:t>专项定制并推出适配在区企业需求的信贷产品“巴实贷”，进一步提高我区符合条件的中小企业信贷获得率。（牵头单位：区金融发展中心，配合单位：区财政局）</w:t>
      </w:r>
    </w:p>
    <w:p>
      <w:pPr>
        <w:keepNext w:val="0"/>
        <w:keepLines w:val="0"/>
        <w:pageBreakBefore w:val="0"/>
        <w:widowControl w:val="0"/>
        <w:kinsoku/>
        <w:wordWrap/>
        <w:overflowPunct/>
        <w:topLinePunct w:val="0"/>
        <w:autoSpaceDE/>
        <w:autoSpaceDN/>
        <w:bidi w:val="0"/>
        <w:adjustRightInd/>
        <w:snapToGrid/>
        <w:spacing w:line="620" w:lineRule="exact"/>
        <w:ind w:firstLine="624"/>
        <w:textAlignment w:val="auto"/>
        <w:outlineLvl w:val="9"/>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二、鼓励工业企业增产增收。</w:t>
      </w:r>
      <w:r>
        <w:rPr>
          <w:rFonts w:hint="eastAsia" w:ascii="方正仿宋_GBK" w:hAnsi="方正仿宋_GBK" w:eastAsia="方正仿宋_GBK" w:cs="方正仿宋_GBK"/>
          <w:snapToGrid w:val="0"/>
          <w:kern w:val="0"/>
          <w:sz w:val="32"/>
          <w:szCs w:val="32"/>
        </w:rPr>
        <w:t>对2021年主营业务收入达到5亿元、10亿元、50亿元及以上，且2021年、2022年增幅均达到10%及以上的工业企业，分别给予一次性奖励20万元、50万元、100万元。对2021年主营业务收入达到1亿元以上、5亿元以下，且2021年、2022年增幅均达到15%及以上的工业企业，给予一次性奖励15万元。对2021年主营业务收入达到5000万元及以上、1亿元以下，且2021年、2022年增幅均达到20%及以上的工业企业，给予一次性奖励10万元。对2021年主营业务收入达到2000万元及以上、5000万元以下，且2022年全年主营业务收入增长10%以上的工业企业，给予一次性奖励5万元。（牵头单位：区经济信息委，配合单位：区财政局、区税务局、区属国有公司）</w:t>
      </w:r>
    </w:p>
    <w:p>
      <w:pPr>
        <w:keepNext w:val="0"/>
        <w:keepLines w:val="0"/>
        <w:pageBreakBefore w:val="0"/>
        <w:widowControl w:val="0"/>
        <w:kinsoku/>
        <w:wordWrap/>
        <w:overflowPunct/>
        <w:topLinePunct w:val="0"/>
        <w:autoSpaceDE/>
        <w:autoSpaceDN/>
        <w:bidi w:val="0"/>
        <w:adjustRightInd/>
        <w:snapToGrid/>
        <w:spacing w:line="620" w:lineRule="exact"/>
        <w:ind w:firstLine="624"/>
        <w:textAlignment w:val="auto"/>
        <w:outlineLvl w:val="9"/>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三、支持工业企业智能化改造和技改升级。</w:t>
      </w:r>
      <w:r>
        <w:rPr>
          <w:rFonts w:hint="eastAsia" w:ascii="方正仿宋_GBK" w:hAnsi="方正仿宋_GBK" w:eastAsia="方正仿宋_GBK" w:cs="方正仿宋_GBK"/>
          <w:snapToGrid w:val="0"/>
          <w:kern w:val="0"/>
          <w:sz w:val="32"/>
          <w:szCs w:val="32"/>
        </w:rPr>
        <w:t>对2021年获评市级智能工厂、数字化车间的企业，分别给予一次性奖励50万元、25万元。对2022年完成技改投资1000万元及以上、1亿元及以下的工业企业，给予一次性技改补助2万元。对2022年完成技改投资1亿元以上、2亿</w:t>
      </w:r>
      <w:r>
        <w:rPr>
          <w:rFonts w:hint="eastAsia" w:ascii="方正仿宋_GBK" w:hAnsi="方正仿宋_GBK" w:eastAsia="方正仿宋_GBK" w:cs="方正仿宋_GBK"/>
          <w:snapToGrid w:val="0"/>
          <w:kern w:val="0"/>
          <w:sz w:val="32"/>
          <w:szCs w:val="32"/>
          <w:lang w:eastAsia="zh-CN"/>
        </w:rPr>
        <w:t>元</w:t>
      </w:r>
      <w:r>
        <w:rPr>
          <w:rFonts w:hint="eastAsia" w:ascii="方正仿宋_GBK" w:hAnsi="方正仿宋_GBK" w:eastAsia="方正仿宋_GBK" w:cs="方正仿宋_GBK"/>
          <w:snapToGrid w:val="0"/>
          <w:kern w:val="0"/>
          <w:sz w:val="32"/>
          <w:szCs w:val="32"/>
        </w:rPr>
        <w:t>及以下的工业企业，给予一次性技改补助5万元。对2022年完成技改投资2亿元以上的工业企业，给予一次性技改补助8万元。（牵头单位：区经济信息委，配合单位：区财政局、区属国有公司）</w:t>
      </w:r>
    </w:p>
    <w:p>
      <w:pPr>
        <w:keepNext w:val="0"/>
        <w:keepLines w:val="0"/>
        <w:pageBreakBefore w:val="0"/>
        <w:widowControl w:val="0"/>
        <w:kinsoku/>
        <w:wordWrap/>
        <w:overflowPunct/>
        <w:topLinePunct w:val="0"/>
        <w:autoSpaceDE/>
        <w:autoSpaceDN/>
        <w:bidi w:val="0"/>
        <w:adjustRightInd/>
        <w:snapToGrid/>
        <w:spacing w:line="620" w:lineRule="exact"/>
        <w:ind w:firstLine="624"/>
        <w:textAlignment w:val="auto"/>
        <w:outlineLvl w:val="9"/>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四、支持工业企业创新发展。</w:t>
      </w:r>
      <w:r>
        <w:rPr>
          <w:rFonts w:hint="eastAsia" w:ascii="方正仿宋_GBK" w:hAnsi="方正仿宋_GBK" w:eastAsia="方正仿宋_GBK" w:cs="方正仿宋_GBK"/>
          <w:snapToGrid w:val="0"/>
          <w:kern w:val="0"/>
          <w:sz w:val="32"/>
          <w:szCs w:val="32"/>
        </w:rPr>
        <w:t>对2021年获评国家级、市级、区级的工业设计中心、工业设计研究院、企业技术中心、中小企业技术研发中心、工业和信息化重点实验室、技术创新示范企业、新型企业研发机构等研发创新平台和创新型企业，分别给予一次性奖励不超过50万元、20万元、10万元。对2022年首次通过认定为开展了研发活动的主营业务收入在2000万元以上的工业企业，给予一次性补助1万元。（牵头单位：区经济信息委，配合单位：区财政局、区科技局、区属国有公司）</w:t>
      </w:r>
    </w:p>
    <w:p>
      <w:pPr>
        <w:keepNext w:val="0"/>
        <w:keepLines w:val="0"/>
        <w:pageBreakBefore w:val="0"/>
        <w:widowControl w:val="0"/>
        <w:kinsoku/>
        <w:wordWrap/>
        <w:overflowPunct/>
        <w:topLinePunct w:val="0"/>
        <w:autoSpaceDE/>
        <w:autoSpaceDN/>
        <w:bidi w:val="0"/>
        <w:adjustRightInd/>
        <w:snapToGrid/>
        <w:spacing w:line="620" w:lineRule="exact"/>
        <w:ind w:firstLine="624"/>
        <w:textAlignment w:val="auto"/>
        <w:outlineLvl w:val="9"/>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五、加大培育“专精特新”企业。</w:t>
      </w:r>
      <w:r>
        <w:rPr>
          <w:rFonts w:hint="eastAsia" w:ascii="方正仿宋_GBK" w:hAnsi="方正仿宋_GBK" w:eastAsia="方正仿宋_GBK" w:cs="方正仿宋_GBK"/>
          <w:snapToGrid w:val="0"/>
          <w:kern w:val="0"/>
          <w:sz w:val="32"/>
          <w:szCs w:val="32"/>
        </w:rPr>
        <w:t>对2022年新获评的国家专精特新“小巨人”企业、</w:t>
      </w:r>
      <w:r>
        <w:rPr>
          <w:rFonts w:hint="eastAsia" w:ascii="方正仿宋_GBK" w:hAnsi="方正仿宋_GBK" w:eastAsia="方正仿宋_GBK" w:cs="方正仿宋_GBK"/>
          <w:snapToGrid w:val="0"/>
          <w:kern w:val="0"/>
          <w:sz w:val="32"/>
          <w:szCs w:val="32"/>
          <w:lang w:eastAsia="zh-CN"/>
        </w:rPr>
        <w:t>专精特新中小企业</w:t>
      </w:r>
      <w:r>
        <w:rPr>
          <w:rFonts w:hint="eastAsia" w:ascii="方正仿宋_GBK" w:hAnsi="方正仿宋_GBK" w:eastAsia="方正仿宋_GBK" w:cs="方正仿宋_GBK"/>
          <w:snapToGrid w:val="0"/>
          <w:kern w:val="0"/>
          <w:sz w:val="32"/>
          <w:szCs w:val="32"/>
        </w:rPr>
        <w:t>、创新型中小企业，分别给予一次性奖励20万元、10万元、2万元。对申报2022年国家专精特新“小巨人”企业、</w:t>
      </w:r>
      <w:r>
        <w:rPr>
          <w:rFonts w:hint="eastAsia" w:ascii="方正仿宋_GBK" w:hAnsi="方正仿宋_GBK" w:eastAsia="方正仿宋_GBK" w:cs="方正仿宋_GBK"/>
          <w:snapToGrid w:val="0"/>
          <w:kern w:val="0"/>
          <w:sz w:val="32"/>
          <w:szCs w:val="32"/>
          <w:lang w:eastAsia="zh-CN"/>
        </w:rPr>
        <w:t>专精特新中小企业</w:t>
      </w:r>
      <w:r>
        <w:rPr>
          <w:rFonts w:hint="eastAsia" w:ascii="方正仿宋_GBK" w:hAnsi="方正仿宋_GBK" w:eastAsia="方正仿宋_GBK" w:cs="方正仿宋_GBK"/>
          <w:snapToGrid w:val="0"/>
          <w:kern w:val="0"/>
          <w:sz w:val="32"/>
          <w:szCs w:val="32"/>
        </w:rPr>
        <w:t>、创新型中小企业，按照不超过企业申报服务费用50%的比例给予补助，最高分别不超过3万元、2万元、1万元。（牵头单位：区经济信息委，配合单位：区财政局、区大数据发展局、区属国有公司）</w:t>
      </w:r>
    </w:p>
    <w:p>
      <w:pPr>
        <w:keepNext w:val="0"/>
        <w:keepLines w:val="0"/>
        <w:pageBreakBefore w:val="0"/>
        <w:widowControl w:val="0"/>
        <w:kinsoku/>
        <w:wordWrap/>
        <w:overflowPunct/>
        <w:topLinePunct w:val="0"/>
        <w:autoSpaceDE/>
        <w:autoSpaceDN/>
        <w:bidi w:val="0"/>
        <w:adjustRightInd/>
        <w:snapToGrid/>
        <w:spacing w:line="620" w:lineRule="exact"/>
        <w:ind w:firstLine="624"/>
        <w:textAlignment w:val="auto"/>
        <w:outlineLvl w:val="9"/>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六、促消费支持文商旅融合发展。</w:t>
      </w:r>
      <w:r>
        <w:rPr>
          <w:rFonts w:hint="eastAsia" w:ascii="方正仿宋_GBK" w:hAnsi="方正仿宋_GBK" w:eastAsia="方正仿宋_GBK" w:cs="方正仿宋_GBK"/>
          <w:snapToGrid w:val="0"/>
          <w:kern w:val="0"/>
          <w:sz w:val="32"/>
          <w:szCs w:val="32"/>
        </w:rPr>
        <w:t>设立总额不低于500万元的消费券，通过线上平台分期分批发放，拉动区内商圈、旅游景区、旅游民宿、酒店住宿、餐饮、乘用车、影院等领域消费水平。（牵头单位：区</w:t>
      </w:r>
      <w:r>
        <w:rPr>
          <w:rFonts w:hint="eastAsia" w:ascii="方正仿宋_GBK" w:hAnsi="方正仿宋_GBK" w:eastAsia="方正仿宋_GBK" w:cs="方正仿宋_GBK"/>
          <w:snapToGrid w:val="0"/>
          <w:kern w:val="0"/>
          <w:sz w:val="32"/>
          <w:szCs w:val="32"/>
          <w:lang w:eastAsia="zh-CN"/>
        </w:rPr>
        <w:t>文化</w:t>
      </w:r>
      <w:r>
        <w:rPr>
          <w:rFonts w:hint="eastAsia" w:ascii="方正仿宋_GBK" w:hAnsi="方正仿宋_GBK" w:eastAsia="方正仿宋_GBK" w:cs="方正仿宋_GBK"/>
          <w:snapToGrid w:val="0"/>
          <w:kern w:val="0"/>
          <w:sz w:val="32"/>
          <w:szCs w:val="32"/>
        </w:rPr>
        <w:t>旅</w:t>
      </w:r>
      <w:r>
        <w:rPr>
          <w:rFonts w:hint="eastAsia" w:ascii="方正仿宋_GBK" w:hAnsi="方正仿宋_GBK" w:eastAsia="方正仿宋_GBK" w:cs="方正仿宋_GBK"/>
          <w:snapToGrid w:val="0"/>
          <w:kern w:val="0"/>
          <w:sz w:val="32"/>
          <w:szCs w:val="32"/>
          <w:lang w:eastAsia="zh-CN"/>
        </w:rPr>
        <w:t>游</w:t>
      </w:r>
      <w:r>
        <w:rPr>
          <w:rFonts w:hint="eastAsia" w:ascii="方正仿宋_GBK" w:hAnsi="方正仿宋_GBK" w:eastAsia="方正仿宋_GBK" w:cs="方正仿宋_GBK"/>
          <w:snapToGrid w:val="0"/>
          <w:kern w:val="0"/>
          <w:sz w:val="32"/>
          <w:szCs w:val="32"/>
        </w:rPr>
        <w:t>委、区商务委，配合单位：区财政局）</w:t>
      </w:r>
    </w:p>
    <w:p>
      <w:pPr>
        <w:keepNext w:val="0"/>
        <w:keepLines w:val="0"/>
        <w:pageBreakBefore w:val="0"/>
        <w:widowControl w:val="0"/>
        <w:kinsoku/>
        <w:wordWrap/>
        <w:overflowPunct/>
        <w:topLinePunct w:val="0"/>
        <w:autoSpaceDE/>
        <w:autoSpaceDN/>
        <w:bidi w:val="0"/>
        <w:adjustRightInd/>
        <w:snapToGrid/>
        <w:spacing w:line="620" w:lineRule="exact"/>
        <w:ind w:firstLine="624"/>
        <w:textAlignment w:val="auto"/>
        <w:outlineLvl w:val="9"/>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七、实施新型农业经营主体贷款贴息。</w:t>
      </w:r>
      <w:r>
        <w:rPr>
          <w:rFonts w:hint="eastAsia" w:ascii="方正仿宋_GBK" w:hAnsi="方正仿宋_GBK" w:eastAsia="方正仿宋_GBK" w:cs="方正仿宋_GBK"/>
          <w:snapToGrid w:val="0"/>
          <w:kern w:val="0"/>
          <w:sz w:val="32"/>
          <w:szCs w:val="32"/>
        </w:rPr>
        <w:t>对符合条件的新型农业企业实施贷款贴息，贴息利率不高于同期人民银行公布的贷款市场报价利率（LPR）的50%。补助国家级、市级、区级农业产业化龙头企业和其它农业新型经营主体贴息额最高分别不超过100万元、50万元、30万元、20万元。（牵头单位：区农业农村委，配合单位：区财政局）</w:t>
      </w:r>
    </w:p>
    <w:p>
      <w:pPr>
        <w:keepNext w:val="0"/>
        <w:keepLines w:val="0"/>
        <w:pageBreakBefore w:val="0"/>
        <w:widowControl w:val="0"/>
        <w:kinsoku/>
        <w:wordWrap/>
        <w:overflowPunct/>
        <w:topLinePunct w:val="0"/>
        <w:autoSpaceDE/>
        <w:autoSpaceDN/>
        <w:bidi w:val="0"/>
        <w:adjustRightInd/>
        <w:snapToGrid/>
        <w:spacing w:line="620" w:lineRule="exact"/>
        <w:ind w:firstLine="624"/>
        <w:textAlignment w:val="auto"/>
        <w:outlineLvl w:val="9"/>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八、鼓励科技成果就地转移转化。</w:t>
      </w:r>
      <w:r>
        <w:rPr>
          <w:rFonts w:hint="eastAsia" w:ascii="方正仿宋_GBK" w:hAnsi="方正仿宋_GBK" w:eastAsia="方正仿宋_GBK" w:cs="方正仿宋_GBK"/>
          <w:snapToGrid w:val="0"/>
          <w:kern w:val="0"/>
          <w:sz w:val="32"/>
          <w:szCs w:val="32"/>
        </w:rPr>
        <w:t>对接受科技成果转让的企业，按项目技术合同登记中实际支付技术所有方技术交易额的10%给予一次性补助，最高不超过50万元。对现金入股不低于注册资本金50%的企业，引进科技成果作价入股的，按作价入股评估金额的10%给予一次性补助，最高不超过100万元。（牵头单位：区科技局，配合单位：区财政局、区市场监管局、区税务局、区属国有公司）</w:t>
      </w:r>
    </w:p>
    <w:p>
      <w:pPr>
        <w:keepNext w:val="0"/>
        <w:keepLines w:val="0"/>
        <w:pageBreakBefore w:val="0"/>
        <w:widowControl w:val="0"/>
        <w:kinsoku/>
        <w:wordWrap/>
        <w:overflowPunct/>
        <w:topLinePunct w:val="0"/>
        <w:autoSpaceDE/>
        <w:autoSpaceDN/>
        <w:bidi w:val="0"/>
        <w:adjustRightInd/>
        <w:snapToGrid/>
        <w:spacing w:line="620" w:lineRule="exact"/>
        <w:ind w:firstLine="624"/>
        <w:textAlignment w:val="auto"/>
        <w:outlineLvl w:val="9"/>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九、加大政府采购支持力度，促进中小企业发展。</w:t>
      </w:r>
      <w:r>
        <w:rPr>
          <w:rFonts w:hint="eastAsia" w:ascii="方正仿宋_GBK" w:hAnsi="方正仿宋_GBK" w:eastAsia="方正仿宋_GBK" w:cs="方正仿宋_GBK"/>
          <w:snapToGrid w:val="0"/>
          <w:kern w:val="0"/>
          <w:sz w:val="32"/>
          <w:szCs w:val="32"/>
        </w:rPr>
        <w:t>鼓励辖区企业积极参与我区政府采购项目，提高政府采购项目预留中小企业份额。采购限额标准以上，200万元以下的货物和服务采购项目、400万元以下的工程采购项目，适宜由中小企业提供的，面向中小企业采购。超过200万元的货物和服务采购项目、超过400万元的工程采购项目中适宜由中小企业提供的，预留中小企业份额从30%以上提高到40%以上，其中预留给小微企业的比例由不低于60%提高到不低于70%。进一步降低政府采购交易成本，免收企业投标保证金及采购文件工本费。政府采购项目履约保证金的收取不超过合同金额的5%，企业可保函提交履约保证金。在全区政府采购项目中实施供应商基本资格条件承诺制。（牵头单位：区财政局，配合单位：区政务服务办）</w:t>
      </w:r>
    </w:p>
    <w:p>
      <w:pPr>
        <w:keepNext w:val="0"/>
        <w:keepLines w:val="0"/>
        <w:pageBreakBefore w:val="0"/>
        <w:widowControl w:val="0"/>
        <w:kinsoku/>
        <w:wordWrap/>
        <w:overflowPunct/>
        <w:topLinePunct w:val="0"/>
        <w:autoSpaceDE/>
        <w:autoSpaceDN/>
        <w:bidi w:val="0"/>
        <w:adjustRightInd/>
        <w:snapToGrid/>
        <w:spacing w:line="620" w:lineRule="exact"/>
        <w:ind w:firstLine="624"/>
        <w:textAlignment w:val="auto"/>
        <w:outlineLvl w:val="9"/>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十、降低企业入驻线上平台经营成本。</w:t>
      </w:r>
      <w:r>
        <w:rPr>
          <w:rFonts w:hint="eastAsia" w:ascii="方正仿宋_GBK" w:hAnsi="方正仿宋_GBK" w:eastAsia="方正仿宋_GBK" w:cs="方正仿宋_GBK"/>
          <w:snapToGrid w:val="0"/>
          <w:kern w:val="0"/>
          <w:sz w:val="32"/>
          <w:szCs w:val="32"/>
        </w:rPr>
        <w:t>辖区内企业及其产品入驻“巴实游平台”，其入驻保证金、交易服务费由区政府承担。（牵头单位：</w:t>
      </w:r>
      <w:r>
        <w:rPr>
          <w:rFonts w:hint="eastAsia" w:ascii="方正仿宋_GBK" w:hAnsi="方正仿宋_GBK" w:eastAsia="方正仿宋_GBK" w:cs="方正仿宋_GBK"/>
          <w:snapToGrid w:val="0"/>
          <w:kern w:val="0"/>
          <w:sz w:val="32"/>
          <w:szCs w:val="32"/>
          <w:lang w:eastAsia="zh-CN"/>
        </w:rPr>
        <w:t>区文化旅游委</w:t>
      </w:r>
      <w:r>
        <w:rPr>
          <w:rFonts w:hint="eastAsia" w:ascii="方正仿宋_GBK" w:hAnsi="方正仿宋_GBK" w:eastAsia="方正仿宋_GBK" w:cs="方正仿宋_GBK"/>
          <w:snapToGrid w:val="0"/>
          <w:kern w:val="0"/>
          <w:sz w:val="32"/>
          <w:szCs w:val="32"/>
        </w:rPr>
        <w:t>，配合单位：区农</w:t>
      </w:r>
      <w:r>
        <w:rPr>
          <w:rFonts w:hint="eastAsia" w:ascii="方正仿宋_GBK" w:hAnsi="方正仿宋_GBK" w:eastAsia="方正仿宋_GBK" w:cs="方正仿宋_GBK"/>
          <w:snapToGrid w:val="0"/>
          <w:kern w:val="0"/>
          <w:sz w:val="32"/>
          <w:szCs w:val="32"/>
          <w:lang w:eastAsia="zh-CN"/>
        </w:rPr>
        <w:t>业农村</w:t>
      </w:r>
      <w:r>
        <w:rPr>
          <w:rFonts w:hint="eastAsia" w:ascii="方正仿宋_GBK" w:hAnsi="方正仿宋_GBK" w:eastAsia="方正仿宋_GBK" w:cs="方正仿宋_GBK"/>
          <w:snapToGrid w:val="0"/>
          <w:kern w:val="0"/>
          <w:sz w:val="32"/>
          <w:szCs w:val="32"/>
        </w:rPr>
        <w:t>委、区</w:t>
      </w:r>
      <w:r>
        <w:rPr>
          <w:rFonts w:hint="eastAsia" w:ascii="方正仿宋_GBK" w:hAnsi="方正仿宋_GBK" w:eastAsia="方正仿宋_GBK" w:cs="方正仿宋_GBK"/>
          <w:snapToGrid w:val="0"/>
          <w:kern w:val="0"/>
          <w:sz w:val="32"/>
          <w:szCs w:val="32"/>
          <w:lang w:eastAsia="zh-CN"/>
        </w:rPr>
        <w:t>经济</w:t>
      </w:r>
      <w:r>
        <w:rPr>
          <w:rFonts w:hint="eastAsia" w:ascii="方正仿宋_GBK" w:hAnsi="方正仿宋_GBK" w:eastAsia="方正仿宋_GBK" w:cs="方正仿宋_GBK"/>
          <w:snapToGrid w:val="0"/>
          <w:kern w:val="0"/>
          <w:sz w:val="32"/>
          <w:szCs w:val="32"/>
        </w:rPr>
        <w:t>信</w:t>
      </w:r>
      <w:r>
        <w:rPr>
          <w:rFonts w:hint="eastAsia" w:ascii="方正仿宋_GBK" w:hAnsi="方正仿宋_GBK" w:eastAsia="方正仿宋_GBK" w:cs="方正仿宋_GBK"/>
          <w:snapToGrid w:val="0"/>
          <w:kern w:val="0"/>
          <w:sz w:val="32"/>
          <w:szCs w:val="32"/>
          <w:lang w:eastAsia="zh-CN"/>
        </w:rPr>
        <w:t>息</w:t>
      </w:r>
      <w:r>
        <w:rPr>
          <w:rFonts w:hint="eastAsia" w:ascii="方正仿宋_GBK" w:hAnsi="方正仿宋_GBK" w:eastAsia="方正仿宋_GBK" w:cs="方正仿宋_GBK"/>
          <w:snapToGrid w:val="0"/>
          <w:kern w:val="0"/>
          <w:sz w:val="32"/>
          <w:szCs w:val="32"/>
        </w:rPr>
        <w:t>委、区商务委）</w:t>
      </w:r>
    </w:p>
    <w:p>
      <w:pPr>
        <w:keepNext w:val="0"/>
        <w:keepLines w:val="0"/>
        <w:pageBreakBefore w:val="0"/>
        <w:widowControl w:val="0"/>
        <w:kinsoku/>
        <w:wordWrap/>
        <w:overflowPunct/>
        <w:topLinePunct w:val="0"/>
        <w:autoSpaceDE/>
        <w:autoSpaceDN/>
        <w:bidi w:val="0"/>
        <w:adjustRightInd/>
        <w:snapToGrid/>
        <w:spacing w:line="620" w:lineRule="exact"/>
        <w:ind w:firstLine="624"/>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对国家、重庆市出台的相关支持政策，巴南区全面贯彻落实。同类政策标准不一致的，按照从高不重复的原则最大力度支持企业发展。本政策自发布之日起执行，有效期至2022年12月31日。</w:t>
      </w:r>
    </w:p>
    <w:p>
      <w:pPr>
        <w:keepNext w:val="0"/>
        <w:keepLines w:val="0"/>
        <w:pageBreakBefore w:val="0"/>
        <w:widowControl w:val="0"/>
        <w:kinsoku/>
        <w:wordWrap/>
        <w:overflowPunct/>
        <w:topLinePunct w:val="0"/>
        <w:autoSpaceDE/>
        <w:autoSpaceDN/>
        <w:bidi w:val="0"/>
        <w:adjustRightInd/>
        <w:snapToGrid/>
        <w:spacing w:line="620" w:lineRule="exact"/>
        <w:ind w:firstLine="624"/>
        <w:textAlignment w:val="auto"/>
        <w:outlineLvl w:val="9"/>
        <w:rPr>
          <w:rFonts w:hint="eastAsia" w:ascii="方正仿宋_GBK" w:hAnsi="方正仿宋_GBK" w:eastAsia="方正仿宋_GBK" w:cs="方正仿宋_GBK"/>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24"/>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附件：1.“巴巴实”平台二维码</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2.《巴十条》牵头单位服务人员及服务热线</w:t>
      </w:r>
    </w:p>
    <w:p>
      <w:pPr>
        <w:spacing w:line="560" w:lineRule="exact"/>
        <w:rPr>
          <w:rFonts w:hint="eastAsia" w:ascii="方正黑体_GBK" w:hAnsi="方正黑体_GBK" w:eastAsia="方正黑体_GBK" w:cs="方正黑体_GBK"/>
          <w:snapToGrid w:val="0"/>
          <w:kern w:val="0"/>
          <w:sz w:val="32"/>
          <w:szCs w:val="32"/>
        </w:rPr>
      </w:pPr>
      <w:r>
        <w:rPr>
          <w:rFonts w:hint="eastAsia" w:ascii="方正黑体_GBK" w:hAnsi="方正黑体_GBK" w:eastAsia="方正黑体_GBK" w:cs="方正黑体_GBK"/>
          <w:snapToGrid w:val="0"/>
          <w:kern w:val="0"/>
          <w:sz w:val="32"/>
          <w:szCs w:val="32"/>
        </w:rPr>
        <w:br w:type="page"/>
      </w:r>
      <w:r>
        <w:rPr>
          <w:rFonts w:hint="eastAsia" w:ascii="方正黑体_GBK" w:hAnsi="方正黑体_GBK" w:eastAsia="方正黑体_GBK" w:cs="方正黑体_GBK"/>
          <w:snapToGrid w:val="0"/>
          <w:kern w:val="0"/>
          <w:sz w:val="32"/>
          <w:szCs w:val="32"/>
        </w:rPr>
        <w:t>附件1</w:t>
      </w:r>
    </w:p>
    <w:p>
      <w:pPr>
        <w:pStyle w:val="2"/>
        <w:rPr>
          <w:rFonts w:hint="eastAsia"/>
        </w:rPr>
      </w:pPr>
    </w:p>
    <w:p>
      <w:pPr>
        <w:spacing w:line="560" w:lineRule="exact"/>
        <w:jc w:val="center"/>
        <w:rPr>
          <w:rFonts w:hint="eastAsia" w:ascii="方正小标宋_GBK" w:hAnsi="方正小标宋_GBK" w:eastAsia="方正小标宋_GBK" w:cs="方正小标宋_GBK"/>
          <w:snapToGrid w:val="0"/>
          <w:kern w:val="0"/>
          <w:sz w:val="44"/>
          <w:szCs w:val="44"/>
        </w:rPr>
      </w:pPr>
      <w:r>
        <w:rPr>
          <w:rFonts w:hint="eastAsia" w:ascii="方正小标宋_GBK" w:hAnsi="方正小标宋_GBK" w:eastAsia="方正小标宋_GBK" w:cs="方正小标宋_GBK"/>
          <w:snapToGrid w:val="0"/>
          <w:kern w:val="0"/>
          <w:sz w:val="44"/>
          <w:szCs w:val="44"/>
        </w:rPr>
        <w:t>“巴巴实”平台二维码</w:t>
      </w:r>
    </w:p>
    <w:p>
      <w:pPr>
        <w:spacing w:line="560" w:lineRule="exact"/>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drawing>
          <wp:anchor distT="0" distB="0" distL="114300" distR="114300" simplePos="0" relativeHeight="251659264" behindDoc="0" locked="0" layoutInCell="1" allowOverlap="1">
            <wp:simplePos x="0" y="0"/>
            <wp:positionH relativeFrom="column">
              <wp:posOffset>1257300</wp:posOffset>
            </wp:positionH>
            <wp:positionV relativeFrom="paragraph">
              <wp:posOffset>325120</wp:posOffset>
            </wp:positionV>
            <wp:extent cx="3080385" cy="2278380"/>
            <wp:effectExtent l="0" t="0" r="5715" b="7620"/>
            <wp:wrapNone/>
            <wp:docPr id="12" name="图片 3" descr="b8868466daa4d3e99cff727a9290b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b8868466daa4d3e99cff727a9290b9f"/>
                    <pic:cNvPicPr>
                      <a:picLocks noChangeAspect="1"/>
                    </pic:cNvPicPr>
                  </pic:nvPicPr>
                  <pic:blipFill>
                    <a:blip r:embed="rId6"/>
                    <a:stretch>
                      <a:fillRect/>
                    </a:stretch>
                  </pic:blipFill>
                  <pic:spPr>
                    <a:xfrm>
                      <a:off x="0" y="0"/>
                      <a:ext cx="3080385" cy="2278380"/>
                    </a:xfrm>
                    <a:prstGeom prst="rect">
                      <a:avLst/>
                    </a:prstGeom>
                    <a:noFill/>
                    <a:ln w="9525">
                      <a:noFill/>
                    </a:ln>
                  </pic:spPr>
                </pic:pic>
              </a:graphicData>
            </a:graphic>
          </wp:anchor>
        </w:drawing>
      </w:r>
    </w:p>
    <w:p>
      <w:pPr>
        <w:spacing w:line="560" w:lineRule="exact"/>
        <w:rPr>
          <w:rFonts w:hint="eastAsia" w:ascii="方正仿宋_GBK" w:hAnsi="方正仿宋_GBK" w:eastAsia="方正仿宋_GBK" w:cs="方正仿宋_GBK"/>
          <w:snapToGrid w:val="0"/>
          <w:kern w:val="0"/>
          <w:sz w:val="32"/>
          <w:szCs w:val="32"/>
        </w:rPr>
      </w:pPr>
    </w:p>
    <w:p>
      <w:pPr>
        <w:spacing w:line="560" w:lineRule="exact"/>
        <w:rPr>
          <w:rFonts w:hint="eastAsia" w:ascii="方正仿宋_GBK" w:hAnsi="方正仿宋_GBK" w:eastAsia="方正仿宋_GBK" w:cs="方正仿宋_GBK"/>
          <w:snapToGrid w:val="0"/>
          <w:kern w:val="0"/>
          <w:sz w:val="32"/>
          <w:szCs w:val="32"/>
        </w:rPr>
      </w:pPr>
    </w:p>
    <w:p>
      <w:pPr>
        <w:spacing w:line="560" w:lineRule="exact"/>
        <w:rPr>
          <w:rFonts w:hint="eastAsia" w:ascii="方正仿宋_GBK" w:hAnsi="方正仿宋_GBK" w:eastAsia="方正仿宋_GBK" w:cs="方正仿宋_GBK"/>
          <w:snapToGrid w:val="0"/>
          <w:kern w:val="0"/>
          <w:sz w:val="32"/>
          <w:szCs w:val="32"/>
        </w:rPr>
      </w:pPr>
    </w:p>
    <w:p>
      <w:pPr>
        <w:spacing w:line="560" w:lineRule="exact"/>
        <w:rPr>
          <w:rFonts w:hint="eastAsia" w:ascii="方正仿宋_GBK" w:hAnsi="方正仿宋_GBK" w:eastAsia="方正仿宋_GBK" w:cs="方正仿宋_GBK"/>
          <w:snapToGrid w:val="0"/>
          <w:kern w:val="0"/>
          <w:sz w:val="32"/>
          <w:szCs w:val="32"/>
        </w:rPr>
      </w:pPr>
    </w:p>
    <w:p>
      <w:pPr>
        <w:spacing w:line="560" w:lineRule="exact"/>
        <w:rPr>
          <w:rFonts w:hint="eastAsia" w:ascii="方正仿宋_GBK" w:hAnsi="方正仿宋_GBK" w:eastAsia="方正仿宋_GBK" w:cs="方正仿宋_GBK"/>
          <w:snapToGrid w:val="0"/>
          <w:kern w:val="0"/>
          <w:sz w:val="32"/>
          <w:szCs w:val="32"/>
        </w:rPr>
      </w:pPr>
    </w:p>
    <w:p>
      <w:pPr>
        <w:spacing w:line="560" w:lineRule="exact"/>
        <w:rPr>
          <w:rFonts w:hint="eastAsia" w:ascii="方正仿宋_GBK" w:hAnsi="方正仿宋_GBK" w:eastAsia="方正仿宋_GBK" w:cs="方正仿宋_GBK"/>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备注：“巴巴实”平台可为企业提供政策解读、智能匹配、精准推送、线上申报、线上审批、兑付信息线上反馈等“一站式”服务。</w:t>
      </w:r>
    </w:p>
    <w:p>
      <w:pPr>
        <w:rPr>
          <w:snapToGrid w:val="0"/>
          <w:kern w:val="0"/>
        </w:rPr>
      </w:pPr>
    </w:p>
    <w:p>
      <w:pPr>
        <w:rPr>
          <w:snapToGrid w:val="0"/>
          <w:kern w:val="0"/>
        </w:rPr>
      </w:pPr>
    </w:p>
    <w:p>
      <w:pPr>
        <w:rPr>
          <w:snapToGrid w:val="0"/>
          <w:kern w:val="0"/>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620" w:firstLineChars="200"/>
        <w:jc w:val="center"/>
        <w:textAlignment w:val="auto"/>
        <w:rPr>
          <w:rFonts w:hint="eastAsia"/>
          <w:lang w:val="en-US" w:eastAsia="zh-CN"/>
        </w:rPr>
      </w:pPr>
      <w:r>
        <w:rPr>
          <w:rFonts w:ascii="方正小标宋_GBK" w:hAnsi="方正小标宋_GBK" w:eastAsia="方正小标宋_GBK" w:cs="方正小标宋_GBK"/>
          <w:sz w:val="31"/>
          <w:szCs w:val="31"/>
        </w:rPr>
        <w:t>巴十条”牵头单位服务人员及服务热线</w:t>
      </w:r>
    </w:p>
    <w:tbl>
      <w:tblPr>
        <w:tblStyle w:val="9"/>
        <w:tblW w:w="85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43"/>
        <w:gridCol w:w="2158"/>
        <w:gridCol w:w="1482"/>
        <w:gridCol w:w="1432"/>
        <w:gridCol w:w="2045"/>
        <w:gridCol w:w="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8" w:hRule="atLeast"/>
        </w:trPr>
        <w:tc>
          <w:tcPr>
            <w:tcW w:w="5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ascii="仿宋" w:hAnsi="仿宋" w:eastAsia="仿宋" w:cs="仿宋"/>
                <w:sz w:val="31"/>
                <w:szCs w:val="31"/>
              </w:rPr>
            </w:pPr>
            <w:r>
              <w:rPr>
                <w:rFonts w:hint="eastAsia" w:ascii="仿宋" w:hAnsi="仿宋" w:eastAsia="仿宋" w:cs="仿宋"/>
                <w:color w:val="000000"/>
                <w:sz w:val="31"/>
                <w:szCs w:val="31"/>
              </w:rPr>
              <w:t>序号</w:t>
            </w:r>
          </w:p>
        </w:tc>
        <w:tc>
          <w:tcPr>
            <w:tcW w:w="21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政策名称</w:t>
            </w:r>
          </w:p>
        </w:tc>
        <w:tc>
          <w:tcPr>
            <w:tcW w:w="1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牵头单位</w:t>
            </w:r>
          </w:p>
        </w:tc>
        <w:tc>
          <w:tcPr>
            <w:tcW w:w="14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服务人员</w:t>
            </w:r>
          </w:p>
        </w:tc>
        <w:tc>
          <w:tcPr>
            <w:tcW w:w="20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服务热线</w:t>
            </w:r>
          </w:p>
        </w:tc>
        <w:tc>
          <w:tcPr>
            <w:tcW w:w="9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8" w:hRule="atLeast"/>
        </w:trPr>
        <w:tc>
          <w:tcPr>
            <w:tcW w:w="5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1</w:t>
            </w:r>
          </w:p>
        </w:tc>
        <w:tc>
          <w:tcPr>
            <w:tcW w:w="21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及时推出“巴实贷”信贷产品</w:t>
            </w:r>
          </w:p>
        </w:tc>
        <w:tc>
          <w:tcPr>
            <w:tcW w:w="1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区金融发展中心</w:t>
            </w:r>
          </w:p>
        </w:tc>
        <w:tc>
          <w:tcPr>
            <w:tcW w:w="14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张晶</w:t>
            </w:r>
          </w:p>
        </w:tc>
        <w:tc>
          <w:tcPr>
            <w:tcW w:w="20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023－66236510</w:t>
            </w:r>
          </w:p>
        </w:tc>
        <w:tc>
          <w:tcPr>
            <w:tcW w:w="9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8" w:hRule="atLeast"/>
        </w:trPr>
        <w:tc>
          <w:tcPr>
            <w:tcW w:w="5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2</w:t>
            </w:r>
          </w:p>
        </w:tc>
        <w:tc>
          <w:tcPr>
            <w:tcW w:w="21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鼓励工业企业增收增产</w:t>
            </w:r>
          </w:p>
        </w:tc>
        <w:tc>
          <w:tcPr>
            <w:tcW w:w="1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区经济信息委</w:t>
            </w:r>
          </w:p>
        </w:tc>
        <w:tc>
          <w:tcPr>
            <w:tcW w:w="14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孟耸</w:t>
            </w:r>
          </w:p>
        </w:tc>
        <w:tc>
          <w:tcPr>
            <w:tcW w:w="20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023－66238039</w:t>
            </w:r>
          </w:p>
        </w:tc>
        <w:tc>
          <w:tcPr>
            <w:tcW w:w="9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8" w:hRule="atLeast"/>
        </w:trPr>
        <w:tc>
          <w:tcPr>
            <w:tcW w:w="5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3</w:t>
            </w:r>
          </w:p>
        </w:tc>
        <w:tc>
          <w:tcPr>
            <w:tcW w:w="21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支持工业企业智能化改造和技改升级</w:t>
            </w:r>
          </w:p>
        </w:tc>
        <w:tc>
          <w:tcPr>
            <w:tcW w:w="1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区经济信息委</w:t>
            </w:r>
          </w:p>
        </w:tc>
        <w:tc>
          <w:tcPr>
            <w:tcW w:w="14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郑勇</w:t>
            </w:r>
          </w:p>
        </w:tc>
        <w:tc>
          <w:tcPr>
            <w:tcW w:w="20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023－66293633</w:t>
            </w:r>
          </w:p>
        </w:tc>
        <w:tc>
          <w:tcPr>
            <w:tcW w:w="9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8" w:hRule="atLeast"/>
        </w:trPr>
        <w:tc>
          <w:tcPr>
            <w:tcW w:w="5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4</w:t>
            </w:r>
          </w:p>
        </w:tc>
        <w:tc>
          <w:tcPr>
            <w:tcW w:w="21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支持工业企业创新发展</w:t>
            </w:r>
          </w:p>
        </w:tc>
        <w:tc>
          <w:tcPr>
            <w:tcW w:w="1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区经济信息委</w:t>
            </w:r>
          </w:p>
        </w:tc>
        <w:tc>
          <w:tcPr>
            <w:tcW w:w="14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肖建勇</w:t>
            </w:r>
          </w:p>
        </w:tc>
        <w:tc>
          <w:tcPr>
            <w:tcW w:w="20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023－66219203</w:t>
            </w:r>
          </w:p>
        </w:tc>
        <w:tc>
          <w:tcPr>
            <w:tcW w:w="9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8" w:hRule="atLeast"/>
        </w:trPr>
        <w:tc>
          <w:tcPr>
            <w:tcW w:w="5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5</w:t>
            </w:r>
          </w:p>
        </w:tc>
        <w:tc>
          <w:tcPr>
            <w:tcW w:w="21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加大培育“专精特新”企业</w:t>
            </w:r>
          </w:p>
        </w:tc>
        <w:tc>
          <w:tcPr>
            <w:tcW w:w="1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区经济信息委</w:t>
            </w:r>
          </w:p>
        </w:tc>
        <w:tc>
          <w:tcPr>
            <w:tcW w:w="14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刘亮</w:t>
            </w:r>
          </w:p>
        </w:tc>
        <w:tc>
          <w:tcPr>
            <w:tcW w:w="20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023－66212665</w:t>
            </w:r>
          </w:p>
        </w:tc>
        <w:tc>
          <w:tcPr>
            <w:tcW w:w="9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3" w:hRule="atLeast"/>
        </w:trPr>
        <w:tc>
          <w:tcPr>
            <w:tcW w:w="543"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6</w:t>
            </w:r>
          </w:p>
        </w:tc>
        <w:tc>
          <w:tcPr>
            <w:tcW w:w="2158" w:type="dxa"/>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促消费支持文商旅融合发展</w:t>
            </w:r>
          </w:p>
        </w:tc>
        <w:tc>
          <w:tcPr>
            <w:tcW w:w="1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区文化旅游委</w:t>
            </w:r>
          </w:p>
        </w:tc>
        <w:tc>
          <w:tcPr>
            <w:tcW w:w="14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秦晓飞</w:t>
            </w:r>
          </w:p>
        </w:tc>
        <w:tc>
          <w:tcPr>
            <w:tcW w:w="20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023－66273922</w:t>
            </w:r>
          </w:p>
        </w:tc>
        <w:tc>
          <w:tcPr>
            <w:tcW w:w="9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543"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2158" w:type="dxa"/>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rPr>
                <w:rFonts w:hint="eastAsia" w:ascii="宋体"/>
                <w:sz w:val="24"/>
                <w:szCs w:val="24"/>
              </w:rPr>
            </w:pPr>
          </w:p>
        </w:tc>
        <w:tc>
          <w:tcPr>
            <w:tcW w:w="1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区商务委</w:t>
            </w:r>
          </w:p>
        </w:tc>
        <w:tc>
          <w:tcPr>
            <w:tcW w:w="14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杨小莹</w:t>
            </w:r>
          </w:p>
        </w:tc>
        <w:tc>
          <w:tcPr>
            <w:tcW w:w="20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023－66225897</w:t>
            </w:r>
          </w:p>
        </w:tc>
        <w:tc>
          <w:tcPr>
            <w:tcW w:w="9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8" w:hRule="atLeast"/>
        </w:trPr>
        <w:tc>
          <w:tcPr>
            <w:tcW w:w="5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7</w:t>
            </w:r>
          </w:p>
        </w:tc>
        <w:tc>
          <w:tcPr>
            <w:tcW w:w="21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实施新型农业经营主体贷款贴息</w:t>
            </w:r>
          </w:p>
        </w:tc>
        <w:tc>
          <w:tcPr>
            <w:tcW w:w="1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区农业农村委</w:t>
            </w:r>
          </w:p>
        </w:tc>
        <w:tc>
          <w:tcPr>
            <w:tcW w:w="14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sz w:val="31"/>
                <w:szCs w:val="31"/>
              </w:rPr>
              <w:t>何超</w:t>
            </w:r>
          </w:p>
        </w:tc>
        <w:tc>
          <w:tcPr>
            <w:tcW w:w="20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023－66230250</w:t>
            </w:r>
          </w:p>
        </w:tc>
        <w:tc>
          <w:tcPr>
            <w:tcW w:w="9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8" w:hRule="atLeast"/>
        </w:trPr>
        <w:tc>
          <w:tcPr>
            <w:tcW w:w="5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8</w:t>
            </w:r>
          </w:p>
        </w:tc>
        <w:tc>
          <w:tcPr>
            <w:tcW w:w="21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鼓励科技成果就地转移转化</w:t>
            </w:r>
          </w:p>
        </w:tc>
        <w:tc>
          <w:tcPr>
            <w:tcW w:w="1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区科技局</w:t>
            </w:r>
          </w:p>
        </w:tc>
        <w:tc>
          <w:tcPr>
            <w:tcW w:w="14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sz w:val="31"/>
                <w:szCs w:val="31"/>
              </w:rPr>
              <w:t>王淼淼</w:t>
            </w:r>
          </w:p>
        </w:tc>
        <w:tc>
          <w:tcPr>
            <w:tcW w:w="20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sz w:val="31"/>
                <w:szCs w:val="31"/>
              </w:rPr>
              <w:t>023－62599163</w:t>
            </w:r>
          </w:p>
        </w:tc>
        <w:tc>
          <w:tcPr>
            <w:tcW w:w="9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8" w:hRule="atLeast"/>
        </w:trPr>
        <w:tc>
          <w:tcPr>
            <w:tcW w:w="5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9</w:t>
            </w:r>
          </w:p>
        </w:tc>
        <w:tc>
          <w:tcPr>
            <w:tcW w:w="21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加大政府采购支持力度，促进中小企业发展</w:t>
            </w:r>
          </w:p>
        </w:tc>
        <w:tc>
          <w:tcPr>
            <w:tcW w:w="1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区财政局</w:t>
            </w:r>
          </w:p>
        </w:tc>
        <w:tc>
          <w:tcPr>
            <w:tcW w:w="14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sz w:val="31"/>
                <w:szCs w:val="31"/>
              </w:rPr>
              <w:t>吴博</w:t>
            </w:r>
          </w:p>
        </w:tc>
        <w:tc>
          <w:tcPr>
            <w:tcW w:w="20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023－66239742</w:t>
            </w:r>
          </w:p>
        </w:tc>
        <w:tc>
          <w:tcPr>
            <w:tcW w:w="9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8" w:hRule="atLeast"/>
        </w:trPr>
        <w:tc>
          <w:tcPr>
            <w:tcW w:w="5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10</w:t>
            </w:r>
          </w:p>
        </w:tc>
        <w:tc>
          <w:tcPr>
            <w:tcW w:w="21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降低企业入驻线上平台经营成本</w:t>
            </w:r>
          </w:p>
        </w:tc>
        <w:tc>
          <w:tcPr>
            <w:tcW w:w="1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区文旅委</w:t>
            </w:r>
          </w:p>
        </w:tc>
        <w:tc>
          <w:tcPr>
            <w:tcW w:w="14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sz w:val="31"/>
                <w:szCs w:val="31"/>
              </w:rPr>
              <w:t>秦晓飞</w:t>
            </w:r>
          </w:p>
        </w:tc>
        <w:tc>
          <w:tcPr>
            <w:tcW w:w="20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r>
              <w:rPr>
                <w:rFonts w:hint="eastAsia" w:ascii="仿宋" w:hAnsi="仿宋" w:eastAsia="仿宋" w:cs="仿宋"/>
                <w:color w:val="000000"/>
                <w:sz w:val="31"/>
                <w:szCs w:val="31"/>
              </w:rPr>
              <w:t>023－66273922</w:t>
            </w:r>
          </w:p>
        </w:tc>
        <w:tc>
          <w:tcPr>
            <w:tcW w:w="9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8"/>
              <w:keepNext w:val="0"/>
              <w:keepLines w:val="0"/>
              <w:widowControl/>
              <w:suppressLineNumbers w:val="0"/>
              <w:spacing w:before="0" w:beforeAutospacing="0" w:after="0" w:afterAutospacing="0" w:line="570" w:lineRule="atLeast"/>
              <w:rPr>
                <w:rFonts w:hint="eastAsia" w:ascii="仿宋" w:hAnsi="仿宋" w:eastAsia="仿宋" w:cs="仿宋"/>
                <w:sz w:val="31"/>
                <w:szCs w:val="31"/>
              </w:rPr>
            </w:pPr>
          </w:p>
        </w:tc>
      </w:tr>
    </w:tbl>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1531"/>
        <w:jc w:val="left"/>
        <w:textAlignment w:val="auto"/>
        <w:outlineLvl w:val="9"/>
        <w:rPr>
          <w:rFonts w:hint="eastAsia" w:ascii="仿宋" w:hAnsi="仿宋" w:eastAsia="仿宋" w:cs="仿宋"/>
          <w:sz w:val="31"/>
          <w:szCs w:val="31"/>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巴南区人民政府办公室发布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D2A2AD4"/>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B33890"/>
    <w:rsid w:val="55E064E0"/>
    <w:rsid w:val="572C6D10"/>
    <w:rsid w:val="5DC34279"/>
    <w:rsid w:val="5FCD688E"/>
    <w:rsid w:val="5FF9BDAA"/>
    <w:rsid w:val="5FFE5333"/>
    <w:rsid w:val="608816D1"/>
    <w:rsid w:val="60BA5F0C"/>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qFormat/>
    <w:uiPriority w:val="0"/>
    <w:rPr>
      <w:rFonts w:eastAsia="仿宋_GB2312"/>
      <w:kern w:val="2"/>
      <w:sz w:val="24"/>
      <w:szCs w:val="24"/>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2025-03-28T02:09:07Z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48C61CB29D3F4D9384F5922CF0F7FFB4</vt:lpwstr>
  </property>
</Properties>
</file>