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400" w:lineRule="exact"/>
        <w:jc w:val="both"/>
        <w:textAlignment w:val="auto"/>
        <w:outlineLvl w:val="9"/>
        <w:rPr>
          <w:rFonts w:hint="eastAsia" w:ascii="方正仿宋_GBK"/>
          <w:caps w:val="0"/>
          <w:snapToGrid w:val="0"/>
          <w:spacing w:val="0"/>
          <w:w w:val="100"/>
          <w:kern w:val="0"/>
          <w:szCs w:val="32"/>
          <w:highlight w:val="none"/>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Calibri" w:hAnsi="Calibri" w:eastAsia="方正小标宋_GBK"/>
          <w:snapToGrid w:val="0"/>
          <w:spacing w:val="0"/>
          <w:kern w:val="0"/>
          <w:sz w:val="44"/>
          <w:szCs w:val="44"/>
        </w:rPr>
      </w:pPr>
      <w:r>
        <w:rPr>
          <w:rFonts w:hint="eastAsia" w:ascii="Calibri" w:hAnsi="Calibri" w:eastAsia="方正小标宋_GBK"/>
          <w:snapToGrid w:val="0"/>
          <w:spacing w:val="0"/>
          <w:kern w:val="0"/>
          <w:sz w:val="44"/>
          <w:szCs w:val="44"/>
        </w:rPr>
        <w:t>重庆市巴南区人民政府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napToGrid w:val="0"/>
          <w:spacing w:val="0"/>
          <w:kern w:val="0"/>
          <w:sz w:val="44"/>
          <w:szCs w:val="44"/>
          <w:lang w:val="en" w:eastAsia="zh-CN"/>
        </w:rPr>
      </w:pPr>
      <w:r>
        <w:rPr>
          <w:rFonts w:hint="default" w:ascii="Times New Roman" w:hAnsi="Times New Roman" w:eastAsia="方正小标宋_GBK" w:cs="Times New Roman"/>
          <w:snapToGrid w:val="0"/>
          <w:spacing w:val="0"/>
          <w:kern w:val="0"/>
          <w:sz w:val="44"/>
          <w:szCs w:val="44"/>
          <w:lang w:val="en" w:eastAsia="zh-CN"/>
        </w:rPr>
        <w:t>关于印发重庆市巴南区国有土地上房屋征收</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napToGrid w:val="0"/>
          <w:spacing w:val="0"/>
          <w:kern w:val="0"/>
          <w:sz w:val="44"/>
          <w:szCs w:val="44"/>
          <w:lang w:val="en" w:eastAsia="zh-CN"/>
        </w:rPr>
      </w:pPr>
      <w:r>
        <w:rPr>
          <w:rFonts w:hint="default" w:ascii="Times New Roman" w:hAnsi="Times New Roman" w:eastAsia="方正小标宋_GBK" w:cs="Times New Roman"/>
          <w:snapToGrid w:val="0"/>
          <w:spacing w:val="0"/>
          <w:kern w:val="0"/>
          <w:sz w:val="44"/>
          <w:szCs w:val="44"/>
          <w:lang w:val="en" w:eastAsia="zh-CN"/>
        </w:rPr>
        <w:t>补偿及奖励补助标准（试行）的通知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napToGrid w:val="0"/>
          <w:spacing w:val="0"/>
          <w:w w:val="100"/>
          <w:kern w:val="0"/>
          <w:sz w:val="32"/>
          <w:szCs w:val="32"/>
        </w:rPr>
      </w:pPr>
      <w:r>
        <w:rPr>
          <w:rFonts w:hint="eastAsia" w:ascii="方正仿宋_GBK" w:hAnsi="方正仿宋_GBK" w:eastAsia="方正仿宋_GBK" w:cs="方正仿宋_GBK"/>
          <w:snapToGrid w:val="0"/>
          <w:spacing w:val="0"/>
          <w:w w:val="100"/>
          <w:kern w:val="0"/>
          <w:sz w:val="32"/>
          <w:szCs w:val="32"/>
        </w:rPr>
        <w:t>巴南府发〔</w:t>
      </w:r>
      <w:r>
        <w:rPr>
          <w:rFonts w:hint="default" w:ascii="Times New Roman" w:hAnsi="Times New Roman" w:eastAsia="方正仿宋_GBK" w:cs="Times New Roman"/>
          <w:snapToGrid w:val="0"/>
          <w:spacing w:val="0"/>
          <w:w w:val="100"/>
          <w:kern w:val="0"/>
          <w:sz w:val="32"/>
          <w:szCs w:val="32"/>
        </w:rPr>
        <w:t>2023</w:t>
      </w:r>
      <w:r>
        <w:rPr>
          <w:rFonts w:hint="eastAsia" w:ascii="方正仿宋_GBK" w:hAnsi="方正仿宋_GBK" w:eastAsia="方正仿宋_GBK" w:cs="方正仿宋_GBK"/>
          <w:snapToGrid w:val="0"/>
          <w:spacing w:val="0"/>
          <w:w w:val="100"/>
          <w:kern w:val="0"/>
          <w:sz w:val="32"/>
          <w:szCs w:val="32"/>
        </w:rPr>
        <w:t>〕</w:t>
      </w:r>
      <w:r>
        <w:rPr>
          <w:rFonts w:hint="default" w:ascii="Times New Roman" w:hAnsi="Times New Roman" w:eastAsia="方正仿宋_GBK" w:cs="Times New Roman"/>
          <w:snapToGrid w:val="0"/>
          <w:spacing w:val="0"/>
          <w:w w:val="100"/>
          <w:kern w:val="0"/>
          <w:sz w:val="32"/>
          <w:szCs w:val="32"/>
          <w:lang w:val="en-US" w:eastAsia="zh-CN"/>
        </w:rPr>
        <w:t>13</w:t>
      </w:r>
      <w:r>
        <w:rPr>
          <w:rFonts w:hint="eastAsia" w:ascii="方正仿宋_GBK" w:hAnsi="方正仿宋_GBK" w:eastAsia="方正仿宋_GBK" w:cs="方正仿宋_GBK"/>
          <w:snapToGrid w:val="0"/>
          <w:spacing w:val="0"/>
          <w:w w:val="100"/>
          <w:kern w:val="0"/>
          <w:sz w:val="32"/>
          <w:szCs w:val="32"/>
        </w:rPr>
        <w:t>号</w:t>
      </w: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napToGrid w:val="0"/>
          <w:spacing w:val="0"/>
          <w:kern w:val="0"/>
          <w:sz w:val="32"/>
          <w:szCs w:val="32"/>
        </w:rPr>
      </w:pPr>
      <w:bookmarkStart w:id="0" w:name="zsdw"/>
      <w:bookmarkEnd w:id="0"/>
      <w:r>
        <w:rPr>
          <w:rFonts w:hint="eastAsia" w:ascii="方正仿宋_GBK" w:hAnsi="方正仿宋_GBK" w:eastAsia="方正仿宋_GBK" w:cs="方正仿宋_GBK"/>
          <w:snapToGrid w:val="0"/>
          <w:spacing w:val="0"/>
          <w:kern w:val="0"/>
          <w:sz w:val="32"/>
          <w:szCs w:val="32"/>
          <w:lang w:val="en" w:eastAsia="zh-CN"/>
        </w:rPr>
        <w:t>各镇人民政府、街道办事处，区政府各部门，区属国有公司，有关单位</w:t>
      </w:r>
      <w:r>
        <w:rPr>
          <w:rFonts w:hint="eastAsia" w:ascii="方正仿宋_GBK" w:hAnsi="方正仿宋_GBK" w:eastAsia="方正仿宋_GBK" w:cs="方正仿宋_GBK"/>
          <w:snapToGrid w:val="0"/>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方正仿宋_GBK" w:hAnsi="方正仿宋_GBK" w:eastAsia="方正仿宋_GBK" w:cs="方正仿宋_GBK"/>
          <w:snapToGrid w:val="0"/>
          <w:color w:val="000000"/>
          <w:spacing w:val="0"/>
          <w:kern w:val="0"/>
          <w:sz w:val="32"/>
          <w:szCs w:val="32"/>
        </w:rPr>
      </w:pPr>
      <w:r>
        <w:rPr>
          <w:rFonts w:hint="eastAsia" w:ascii="方正仿宋_GBK" w:hAnsi="方正仿宋_GBK" w:eastAsia="方正仿宋_GBK" w:cs="方正仿宋_GBK"/>
          <w:snapToGrid w:val="0"/>
          <w:spacing w:val="0"/>
          <w:kern w:val="0"/>
          <w:sz w:val="32"/>
          <w:szCs w:val="32"/>
          <w:lang w:eastAsia="zh-CN"/>
        </w:rPr>
        <w:t>现将</w:t>
      </w:r>
      <w:r>
        <w:rPr>
          <w:rFonts w:hint="eastAsia" w:ascii="方正仿宋_GBK" w:hAnsi="方正仿宋_GBK" w:eastAsia="方正仿宋_GBK" w:cs="方正仿宋_GBK"/>
          <w:snapToGrid w:val="0"/>
          <w:spacing w:val="0"/>
          <w:kern w:val="0"/>
          <w:sz w:val="32"/>
          <w:szCs w:val="32"/>
        </w:rPr>
        <w:t>《重庆市巴南区国有土地上房屋征收补偿及奖励补助标准（试行）》印发给你们，请认真贯彻执行。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方正仿宋_GBK" w:hAnsi="方正仿宋_GBK" w:eastAsia="方正仿宋_GBK" w:cs="方正仿宋_GBK"/>
          <w:snapToGrid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snapToGrid w:val="0"/>
          <w:spacing w:val="0"/>
          <w:kern w:val="0"/>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方正仿宋_GBK" w:hAnsi="方正仿宋_GBK" w:eastAsia="方正仿宋_GBK" w:cs="方正仿宋_GBK"/>
          <w:snapToGrid w:val="0"/>
          <w:spacing w:val="0"/>
          <w:kern w:val="0"/>
          <w:sz w:val="32"/>
          <w:szCs w:val="32"/>
          <w:lang w:val="en-US" w:eastAsia="zh-CN"/>
        </w:rPr>
      </w:pPr>
      <w:r>
        <w:rPr>
          <w:rFonts w:hint="eastAsia" w:ascii="方正仿宋_GBK" w:hAnsi="方正仿宋_GBK" w:eastAsia="方正仿宋_GBK" w:cs="方正仿宋_GBK"/>
          <w:snapToGrid w:val="0"/>
          <w:spacing w:val="0"/>
          <w:kern w:val="0"/>
          <w:sz w:val="32"/>
          <w:szCs w:val="32"/>
          <w:lang w:val="en-US" w:eastAsia="zh-CN"/>
        </w:rPr>
        <w:t xml:space="preserve">               </w:t>
      </w:r>
      <w:r>
        <w:rPr>
          <w:rFonts w:hint="eastAsia" w:ascii="方正仿宋_GBK" w:hAnsi="方正仿宋_GBK" w:eastAsia="方正仿宋_GBK" w:cs="方正仿宋_GBK"/>
          <w:snapToGrid w:val="0"/>
          <w:spacing w:val="0"/>
          <w:kern w:val="0"/>
          <w:sz w:val="32"/>
          <w:szCs w:val="32"/>
        </w:rPr>
        <w:t>重庆市巴南区人民政府</w:t>
      </w:r>
      <w:r>
        <w:rPr>
          <w:rFonts w:hint="eastAsia" w:ascii="方正仿宋_GBK" w:hAnsi="方正仿宋_GBK" w:eastAsia="方正仿宋_GBK" w:cs="方正仿宋_GBK"/>
          <w:snapToGrid w:val="0"/>
          <w:spacing w:val="0"/>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方正仿宋_GBK" w:hAnsi="方正仿宋_GBK" w:eastAsia="方正仿宋_GBK" w:cs="方正仿宋_GBK"/>
          <w:snapToGrid w:val="0"/>
          <w:spacing w:val="0"/>
          <w:kern w:val="0"/>
          <w:sz w:val="32"/>
          <w:szCs w:val="32"/>
          <w:lang w:val="en-US" w:eastAsia="zh-CN"/>
        </w:rPr>
      </w:pPr>
      <w:r>
        <w:rPr>
          <w:rFonts w:hint="eastAsia" w:ascii="方正仿宋_GBK" w:hAnsi="方正仿宋_GBK" w:eastAsia="方正仿宋_GBK" w:cs="方正仿宋_GBK"/>
          <w:snapToGrid w:val="0"/>
          <w:spacing w:val="0"/>
          <w:kern w:val="0"/>
          <w:sz w:val="32"/>
          <w:szCs w:val="32"/>
          <w:lang w:val="en"/>
        </w:rPr>
        <w:t xml:space="preserve">        </w:t>
      </w:r>
      <w:r>
        <w:rPr>
          <w:rFonts w:hint="eastAsia" w:ascii="方正仿宋_GBK" w:hAnsi="方正仿宋_GBK" w:eastAsia="方正仿宋_GBK" w:cs="方正仿宋_GBK"/>
          <w:snapToGrid w:val="0"/>
          <w:spacing w:val="0"/>
          <w:kern w:val="0"/>
          <w:sz w:val="32"/>
          <w:szCs w:val="32"/>
          <w:lang w:val="en-US" w:eastAsia="zh-CN"/>
        </w:rPr>
        <w:t xml:space="preserve">    </w:t>
      </w:r>
      <w:r>
        <w:rPr>
          <w:rFonts w:hint="eastAsia" w:ascii="方正仿宋_GBK" w:hAnsi="方正仿宋_GBK" w:eastAsia="方正仿宋_GBK" w:cs="方正仿宋_GBK"/>
          <w:snapToGrid w:val="0"/>
          <w:spacing w:val="0"/>
          <w:kern w:val="0"/>
          <w:sz w:val="32"/>
          <w:szCs w:val="32"/>
          <w:lang w:val="en"/>
        </w:rPr>
        <w:t xml:space="preserve">    </w:t>
      </w:r>
      <w:r>
        <w:rPr>
          <w:rFonts w:hint="default" w:ascii="Times New Roman" w:hAnsi="Times New Roman" w:eastAsia="方正仿宋_GBK" w:cs="Times New Roman"/>
          <w:snapToGrid w:val="0"/>
          <w:spacing w:val="0"/>
          <w:kern w:val="0"/>
          <w:sz w:val="32"/>
          <w:szCs w:val="32"/>
        </w:rPr>
        <w:t>2023</w:t>
      </w:r>
      <w:r>
        <w:rPr>
          <w:rFonts w:hint="eastAsia" w:ascii="方正仿宋_GBK" w:hAnsi="方正仿宋_GBK" w:eastAsia="方正仿宋_GBK" w:cs="方正仿宋_GBK"/>
          <w:snapToGrid w:val="0"/>
          <w:spacing w:val="0"/>
          <w:kern w:val="0"/>
          <w:sz w:val="32"/>
          <w:szCs w:val="32"/>
        </w:rPr>
        <w:t>年</w:t>
      </w:r>
      <w:r>
        <w:rPr>
          <w:rFonts w:hint="default" w:ascii="Times New Roman" w:hAnsi="Times New Roman" w:eastAsia="方正仿宋_GBK" w:cs="Times New Roman"/>
          <w:snapToGrid w:val="0"/>
          <w:spacing w:val="0"/>
          <w:kern w:val="0"/>
          <w:sz w:val="32"/>
          <w:szCs w:val="32"/>
          <w:lang w:val="en-US" w:eastAsia="zh-CN"/>
        </w:rPr>
        <w:t>4</w:t>
      </w:r>
      <w:r>
        <w:rPr>
          <w:rFonts w:hint="eastAsia" w:ascii="方正仿宋_GBK" w:hAnsi="方正仿宋_GBK" w:eastAsia="方正仿宋_GBK" w:cs="方正仿宋_GBK"/>
          <w:snapToGrid w:val="0"/>
          <w:spacing w:val="0"/>
          <w:kern w:val="0"/>
          <w:sz w:val="32"/>
          <w:szCs w:val="32"/>
        </w:rPr>
        <w:t>月</w:t>
      </w:r>
      <w:r>
        <w:rPr>
          <w:rFonts w:hint="default" w:ascii="Times New Roman" w:hAnsi="Times New Roman" w:eastAsia="方正仿宋_GBK" w:cs="Times New Roman"/>
          <w:snapToGrid w:val="0"/>
          <w:spacing w:val="0"/>
          <w:kern w:val="0"/>
          <w:sz w:val="32"/>
          <w:szCs w:val="32"/>
          <w:lang w:val="en-US" w:eastAsia="zh-CN"/>
        </w:rPr>
        <w:t>28</w:t>
      </w:r>
      <w:r>
        <w:rPr>
          <w:rFonts w:hint="eastAsia" w:ascii="方正仿宋_GBK" w:hAnsi="方正仿宋_GBK" w:eastAsia="方正仿宋_GBK" w:cs="方正仿宋_GBK"/>
          <w:snapToGrid w:val="0"/>
          <w:spacing w:val="0"/>
          <w:kern w:val="0"/>
          <w:sz w:val="32"/>
          <w:szCs w:val="32"/>
        </w:rPr>
        <w:t>日</w:t>
      </w:r>
      <w:r>
        <w:rPr>
          <w:rFonts w:hint="eastAsia" w:ascii="方正仿宋_GBK" w:hAnsi="方正仿宋_GBK" w:eastAsia="方正仿宋_GBK" w:cs="方正仿宋_GBK"/>
          <w:snapToGrid w:val="0"/>
          <w:spacing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方正仿宋_GBK" w:hAnsi="方正仿宋_GBK" w:eastAsia="方正仿宋_GBK" w:cs="方正仿宋_GBK"/>
          <w:snapToGrid w:val="0"/>
          <w:spacing w:val="0"/>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720" w:num="1"/>
          <w:docGrid w:type="lines" w:linePitch="435" w:charSpace="0"/>
        </w:sectPr>
      </w:pPr>
      <w:r>
        <w:rPr>
          <w:rFonts w:hint="eastAsia" w:ascii="方正仿宋_GBK" w:hAnsi="方正仿宋_GBK" w:eastAsia="方正仿宋_GBK" w:cs="方正仿宋_GBK"/>
          <w:snapToGrid w:val="0"/>
          <w:spacing w:val="0"/>
          <w:kern w:val="0"/>
          <w:sz w:val="32"/>
          <w:szCs w:val="32"/>
        </w:rPr>
        <w:t>（此件公开</w:t>
      </w:r>
      <w:r>
        <w:rPr>
          <w:rFonts w:hint="eastAsia" w:ascii="方正仿宋_GBK" w:hAnsi="方正仿宋_GBK" w:eastAsia="方正仿宋_GBK" w:cs="方正仿宋_GBK"/>
          <w:snapToGrid w:val="0"/>
          <w:spacing w:val="0"/>
          <w:kern w:val="0"/>
          <w:sz w:val="32"/>
          <w:szCs w:val="32"/>
          <w:lang w:eastAsia="zh-CN"/>
        </w:rPr>
        <w:t>发布</w:t>
      </w:r>
      <w:r>
        <w:rPr>
          <w:rFonts w:hint="eastAsia" w:ascii="方正仿宋_GBK" w:hAnsi="方正仿宋_GBK" w:eastAsia="方正仿宋_GBK" w:cs="方正仿宋_GBK"/>
          <w:snapToGrid w:val="0"/>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_GBK" w:hAnsi="方正小标宋_GBK" w:eastAsia="方正小标宋_GBK" w:cs="方正小标宋_GBK"/>
          <w:snapToGrid w:val="0"/>
          <w:spacing w:val="0"/>
          <w:kern w:val="0"/>
          <w:sz w:val="44"/>
          <w:szCs w:val="44"/>
        </w:rPr>
      </w:pPr>
      <w:r>
        <w:rPr>
          <w:rFonts w:hint="eastAsia" w:ascii="方正小标宋_GBK" w:hAnsi="方正小标宋_GBK" w:eastAsia="方正小标宋_GBK" w:cs="方正小标宋_GBK"/>
          <w:snapToGrid w:val="0"/>
          <w:spacing w:val="0"/>
          <w:kern w:val="0"/>
          <w:sz w:val="44"/>
          <w:szCs w:val="44"/>
        </w:rPr>
        <w:t>重庆市巴南区国有土地上房屋征收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小标宋_GBK" w:cs="方正仿宋_GBK"/>
          <w:snapToGrid w:val="0"/>
          <w:spacing w:val="0"/>
          <w:kern w:val="0"/>
          <w:sz w:val="44"/>
          <w:szCs w:val="44"/>
          <w:lang w:val="en-US" w:eastAsia="zh-CN"/>
        </w:rPr>
      </w:pPr>
      <w:r>
        <w:rPr>
          <w:rFonts w:hint="eastAsia" w:ascii="方正小标宋_GBK" w:hAnsi="方正小标宋_GBK" w:eastAsia="方正小标宋_GBK" w:cs="方正小标宋_GBK"/>
          <w:snapToGrid w:val="0"/>
          <w:spacing w:val="0"/>
          <w:kern w:val="0"/>
          <w:sz w:val="44"/>
          <w:szCs w:val="44"/>
        </w:rPr>
        <w:t>补偿及奖励补助标准（试行）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方正仿宋_GBK" w:hAnsi="方正仿宋_GBK" w:cs="方正仿宋_GBK"/>
          <w:snapToGrid w:val="0"/>
          <w:spacing w:val="0"/>
          <w:kern w:val="0"/>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方正仿宋_GBK" w:hAnsi="方正仿宋_GBK" w:eastAsia="方正仿宋_GBK" w:cs="方正仿宋_GBK"/>
          <w:snapToGrid w:val="0"/>
          <w:spacing w:val="0"/>
          <w:kern w:val="0"/>
          <w:sz w:val="32"/>
          <w:szCs w:val="32"/>
        </w:rPr>
      </w:pPr>
      <w:r>
        <w:rPr>
          <w:rFonts w:hint="eastAsia" w:ascii="Times New Roman" w:hAnsi="Times New Roman" w:eastAsia="方正仿宋_GBK" w:cs="Times New Roman"/>
          <w:snapToGrid w:val="0"/>
          <w:spacing w:val="0"/>
          <w:kern w:val="0"/>
          <w:sz w:val="32"/>
          <w:szCs w:val="32"/>
          <w:u w:val="none"/>
        </w:rPr>
        <w:t>为推进我区国有土地上房屋征收与补偿工作，维护公共利益，保障被征收人的合法权益，根据《重庆市国有土地上房屋征收与补偿条例实施细则》</w:t>
      </w:r>
      <w:r>
        <w:rPr>
          <w:rFonts w:hint="eastAsia" w:ascii="Times New Roman" w:hAnsi="Times New Roman" w:eastAsia="方正仿宋_GBK" w:cs="Times New Roman"/>
          <w:snapToGrid w:val="0"/>
          <w:spacing w:val="0"/>
          <w:kern w:val="0"/>
          <w:sz w:val="32"/>
          <w:szCs w:val="32"/>
          <w:u w:val="none"/>
          <w:lang w:eastAsia="zh-CN"/>
        </w:rPr>
        <w:t>（</w:t>
      </w:r>
      <w:r>
        <w:rPr>
          <w:rFonts w:hint="eastAsia" w:ascii="Times New Roman" w:hAnsi="Times New Roman" w:eastAsia="方正仿宋_GBK" w:cs="Times New Roman"/>
          <w:snapToGrid w:val="0"/>
          <w:spacing w:val="0"/>
          <w:kern w:val="0"/>
          <w:sz w:val="32"/>
          <w:szCs w:val="32"/>
          <w:u w:val="none"/>
        </w:rPr>
        <w:t>渝府发〔2022〕26号</w:t>
      </w:r>
      <w:r>
        <w:rPr>
          <w:rFonts w:hint="eastAsia" w:ascii="Times New Roman" w:hAnsi="Times New Roman" w:eastAsia="方正仿宋_GBK" w:cs="Times New Roman"/>
          <w:snapToGrid w:val="0"/>
          <w:spacing w:val="0"/>
          <w:kern w:val="0"/>
          <w:sz w:val="32"/>
          <w:szCs w:val="32"/>
          <w:u w:val="none"/>
          <w:lang w:eastAsia="zh-CN"/>
        </w:rPr>
        <w:t>）</w:t>
      </w:r>
      <w:r>
        <w:rPr>
          <w:rFonts w:hint="eastAsia" w:ascii="Times New Roman" w:hAnsi="Times New Roman" w:eastAsia="方正仿宋_GBK" w:cs="Times New Roman"/>
          <w:snapToGrid w:val="0"/>
          <w:spacing w:val="0"/>
          <w:kern w:val="0"/>
          <w:sz w:val="32"/>
          <w:szCs w:val="32"/>
          <w:u w:val="none"/>
        </w:rPr>
        <w:t>和《重庆市住房和城乡建设委员会关于全市执行统一的国有土地上房屋征收补偿科目及单项最高限额标准制度的通知》（渝建征〔2022〕10号），结合我区实际，制定我区国有土地上房屋征收补偿及奖励补助标准。</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方正黑体_GBK" w:hAnsi="方正黑体_GBK" w:eastAsia="方正黑体_GBK" w:cs="方正黑体_GBK"/>
          <w:snapToGrid w:val="0"/>
          <w:spacing w:val="0"/>
          <w:kern w:val="0"/>
          <w:sz w:val="32"/>
          <w:szCs w:val="32"/>
        </w:rPr>
      </w:pPr>
      <w:r>
        <w:rPr>
          <w:rFonts w:hint="eastAsia" w:ascii="方正黑体_GBK" w:hAnsi="方正黑体_GBK" w:eastAsia="方正黑体_GBK" w:cs="方正黑体_GBK"/>
          <w:snapToGrid w:val="0"/>
          <w:spacing w:val="0"/>
          <w:kern w:val="0"/>
          <w:sz w:val="32"/>
          <w:szCs w:val="32"/>
        </w:rPr>
        <w:t xml:space="preserve">第一条 停产停业损失补偿 </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（一）征收非住宅房屋，且在征收项目公布前2年内有合法有效营业执照及完税凭证的，给予停产停业损失补偿。</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被征收人选择货币补偿的，按照房屋评估价值的6%一次性支付停产停业损失补偿费；被征收人选择产权调换的，停产停业期间每月按照房屋评估价值的5‰支付停产停业损失补偿费，停产停业期限按照协议约定计算。已提供临时周转房的，不支付停产停业损失补偿费。区房屋征收部门未按协议约定日期交付产权调换房屋，导致过渡期限延长的，自逾期之月起每月按照房屋评估价值的5‰加付停产停业损失补偿费。</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被征收房屋符合前款规定，且用于生产制造的，停产停业损失的补偿标准可以适当提高，提高的幅度不超过前款规定补偿标准的50%。</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被征收房屋的生产、经营单位或个人不是被征收人的，依照与被征收人的约定分配停产停业损失；没有约定的，由被征收人和生产、经营的单位或个人协商解决，协商不成的，由被征收人和生产、经营的单位或个人通过法律途径解决。</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二）被征收房屋为住宅，而实际改为非住宅使用的，应当按照住宅进行评估、补偿；被征收房屋产权人、房屋坐落与市场主体注册登记、税务登记的证明一致，且在征收项目发布前连续合法经营2年以上并能够提供相应完税凭证的，可以结合实际用途按照房屋评估价值的6%给予一次性停产停业损失补偿。</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方正黑体_GBK" w:hAnsi="方正黑体_GBK" w:eastAsia="方正黑体_GBK" w:cs="方正黑体_GBK"/>
          <w:snapToGrid w:val="0"/>
          <w:spacing w:val="0"/>
          <w:kern w:val="0"/>
          <w:sz w:val="32"/>
          <w:szCs w:val="32"/>
        </w:rPr>
      </w:pPr>
      <w:r>
        <w:rPr>
          <w:rFonts w:hint="eastAsia" w:ascii="方正黑体_GBK" w:hAnsi="方正黑体_GBK" w:eastAsia="方正黑体_GBK" w:cs="方正黑体_GBK"/>
          <w:snapToGrid w:val="0"/>
          <w:spacing w:val="0"/>
          <w:kern w:val="0"/>
          <w:sz w:val="32"/>
          <w:szCs w:val="32"/>
        </w:rPr>
        <w:t>第二条 室内装饰装修及构附属物补偿</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对被征收人有证房屋及认定为合法建筑的房屋，其室内装饰装修按照以下标准补偿：</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（一）住宅：400 元/平方米；</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（二）非住宅：1</w:t>
      </w:r>
      <w:r>
        <w:rPr>
          <w:rFonts w:hint="eastAsia" w:ascii="Times New Roman" w:hAnsi="Times New Roman" w:eastAsia="方正仿宋_GBK" w:cs="Times New Roman"/>
          <w:snapToGrid w:val="0"/>
          <w:spacing w:val="0"/>
          <w:kern w:val="0"/>
          <w:sz w:val="32"/>
          <w:szCs w:val="32"/>
          <w:u w:val="none"/>
          <w:lang w:val="en"/>
        </w:rPr>
        <w:t>.</w:t>
      </w:r>
      <w:r>
        <w:rPr>
          <w:rFonts w:hint="eastAsia" w:ascii="Times New Roman" w:hAnsi="Times New Roman" w:eastAsia="方正仿宋_GBK" w:cs="Times New Roman"/>
          <w:snapToGrid w:val="0"/>
          <w:spacing w:val="0"/>
          <w:kern w:val="0"/>
          <w:sz w:val="32"/>
          <w:szCs w:val="32"/>
          <w:u w:val="none"/>
        </w:rPr>
        <w:t>商业、办公、业务用房300元/平方米；</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2</w:t>
      </w:r>
      <w:r>
        <w:rPr>
          <w:rFonts w:hint="eastAsia" w:ascii="Times New Roman" w:hAnsi="Times New Roman" w:eastAsia="方正仿宋_GBK" w:cs="Times New Roman"/>
          <w:snapToGrid w:val="0"/>
          <w:spacing w:val="0"/>
          <w:kern w:val="0"/>
          <w:sz w:val="32"/>
          <w:szCs w:val="32"/>
          <w:u w:val="none"/>
          <w:lang w:val="en"/>
        </w:rPr>
        <w:t>.</w:t>
      </w:r>
      <w:r>
        <w:rPr>
          <w:rFonts w:hint="eastAsia" w:ascii="Times New Roman" w:hAnsi="Times New Roman" w:eastAsia="方正仿宋_GBK" w:cs="Times New Roman"/>
          <w:snapToGrid w:val="0"/>
          <w:spacing w:val="0"/>
          <w:kern w:val="0"/>
          <w:sz w:val="32"/>
          <w:szCs w:val="32"/>
          <w:u w:val="none"/>
        </w:rPr>
        <w:t>生产用房100元/平方米。</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被征收人对补偿标准有异议的，</w:t>
      </w:r>
      <w:r>
        <w:rPr>
          <w:rFonts w:hint="eastAsia" w:ascii="Times New Roman" w:hAnsi="Times New Roman" w:eastAsia="方正仿宋_GBK" w:cs="Times New Roman"/>
          <w:snapToGrid w:val="0"/>
          <w:spacing w:val="0"/>
          <w:kern w:val="0"/>
          <w:sz w:val="32"/>
          <w:szCs w:val="32"/>
          <w:u w:val="none"/>
          <w:lang w:eastAsia="zh-CN"/>
        </w:rPr>
        <w:t>由房屋征收当事人协商确定；协商不成的，</w:t>
      </w:r>
      <w:r>
        <w:rPr>
          <w:rFonts w:hint="eastAsia" w:ascii="Times New Roman" w:hAnsi="Times New Roman" w:eastAsia="方正仿宋_GBK" w:cs="Times New Roman"/>
          <w:snapToGrid w:val="0"/>
          <w:spacing w:val="0"/>
          <w:kern w:val="0"/>
          <w:sz w:val="32"/>
          <w:szCs w:val="32"/>
          <w:u w:val="none"/>
        </w:rPr>
        <w:t>经书面申请，由对被征收房屋价值进行评估的同一评估机构进行装饰装修评估，按照评估价格进行补偿，不再执行上述补偿标准。</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构筑物、附属物由同一评估机构进行评估，按照评估价格补偿。</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方正黑体_GBK" w:hAnsi="方正黑体_GBK" w:eastAsia="方正黑体_GBK" w:cs="方正黑体_GBK"/>
          <w:snapToGrid w:val="0"/>
          <w:spacing w:val="0"/>
          <w:kern w:val="0"/>
          <w:sz w:val="32"/>
          <w:szCs w:val="32"/>
        </w:rPr>
      </w:pPr>
      <w:r>
        <w:rPr>
          <w:rFonts w:hint="eastAsia" w:ascii="方正黑体_GBK" w:hAnsi="方正黑体_GBK" w:eastAsia="方正黑体_GBK" w:cs="方正黑体_GBK"/>
          <w:snapToGrid w:val="0"/>
          <w:spacing w:val="0"/>
          <w:kern w:val="0"/>
          <w:sz w:val="32"/>
          <w:szCs w:val="32"/>
        </w:rPr>
        <w:t>第三条 附属设施补偿</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 xml:space="preserve">（一）民用附属设施：存在行业现行收费标准的，从其标准规定，没有行业标准的，按照下述标准执行：水表600元/户；电表600元/户；天然气3500元/户；闭路450元/户；宽带300元/户。本条涉及的“户”以缴费户为单位。 </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选择货币补偿的，按上述标准给予补偿；选择房屋产权调换的，不给予补偿，由征收人恢复安装，不另行收费。</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（二）非民用及其他附属设施：补偿标准由对被征收房屋价值进行评估的同一评估机构评估确定。</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方正黑体_GBK" w:hAnsi="方正黑体_GBK" w:eastAsia="方正黑体_GBK" w:cs="方正黑体_GBK"/>
          <w:snapToGrid w:val="0"/>
          <w:spacing w:val="0"/>
          <w:kern w:val="0"/>
          <w:sz w:val="32"/>
          <w:szCs w:val="32"/>
        </w:rPr>
      </w:pPr>
      <w:r>
        <w:rPr>
          <w:rFonts w:hint="eastAsia" w:ascii="方正黑体_GBK" w:hAnsi="方正黑体_GBK" w:eastAsia="方正黑体_GBK" w:cs="方正黑体_GBK"/>
          <w:snapToGrid w:val="0"/>
          <w:spacing w:val="0"/>
          <w:kern w:val="0"/>
          <w:sz w:val="32"/>
          <w:szCs w:val="32"/>
        </w:rPr>
        <w:t>第四条 市场主体的设施设备损失补偿</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因房屋征收造成企业等市场主体设施设备价值损失的，应当给予补偿。搬迁后不丧失使用价值的，搬迁补助费按照所搬迁设施设备折旧后净值的10%以上20%以下计算；搬迁后丧失使用价值的，参照评估价值予以补偿。除区房屋征收部门有专门要求外，补偿后的设施设备应</w:t>
      </w:r>
      <w:r>
        <w:rPr>
          <w:rFonts w:hint="eastAsia" w:ascii="Times New Roman" w:hAnsi="Times New Roman" w:eastAsia="方正仿宋_GBK" w:cs="Times New Roman"/>
          <w:snapToGrid w:val="0"/>
          <w:spacing w:val="0"/>
          <w:kern w:val="0"/>
          <w:sz w:val="32"/>
          <w:szCs w:val="32"/>
          <w:u w:val="none"/>
        </w:rPr>
        <w:softHyphen/>
      </w:r>
      <w:r>
        <w:rPr>
          <w:rFonts w:hint="eastAsia" w:ascii="Times New Roman" w:hAnsi="Times New Roman" w:eastAsia="方正仿宋_GBK" w:cs="Times New Roman"/>
          <w:snapToGrid w:val="0"/>
          <w:spacing w:val="0"/>
          <w:kern w:val="0"/>
          <w:sz w:val="32"/>
          <w:szCs w:val="32"/>
          <w:u w:val="none"/>
        </w:rPr>
        <w:softHyphen/>
      </w:r>
      <w:r>
        <w:rPr>
          <w:rFonts w:hint="eastAsia" w:ascii="Times New Roman" w:hAnsi="Times New Roman" w:eastAsia="方正仿宋_GBK" w:cs="Times New Roman"/>
          <w:snapToGrid w:val="0"/>
          <w:spacing w:val="0"/>
          <w:kern w:val="0"/>
          <w:sz w:val="32"/>
          <w:szCs w:val="32"/>
          <w:u w:val="none"/>
        </w:rPr>
        <w:softHyphen/>
      </w:r>
      <w:r>
        <w:rPr>
          <w:rFonts w:hint="eastAsia" w:ascii="Times New Roman" w:hAnsi="Times New Roman" w:eastAsia="方正仿宋_GBK" w:cs="Times New Roman"/>
          <w:snapToGrid w:val="0"/>
          <w:spacing w:val="0"/>
          <w:kern w:val="0"/>
          <w:sz w:val="32"/>
          <w:szCs w:val="32"/>
          <w:u w:val="none"/>
        </w:rPr>
        <w:t>由被征收人自行拆除、搬离。</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对设施设备进行评估的，企业等市场主体应当提供设施设备购置及其品牌、编号等相关凭据。</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方正黑体_GBK" w:hAnsi="方正黑体_GBK" w:eastAsia="方正黑体_GBK" w:cs="方正黑体_GBK"/>
          <w:snapToGrid w:val="0"/>
          <w:spacing w:val="0"/>
          <w:kern w:val="0"/>
          <w:sz w:val="32"/>
          <w:szCs w:val="32"/>
        </w:rPr>
      </w:pPr>
      <w:r>
        <w:rPr>
          <w:rFonts w:hint="eastAsia" w:ascii="方正黑体_GBK" w:hAnsi="方正黑体_GBK" w:eastAsia="方正黑体_GBK" w:cs="方正黑体_GBK"/>
          <w:snapToGrid w:val="0"/>
          <w:spacing w:val="0"/>
          <w:kern w:val="0"/>
          <w:sz w:val="32"/>
          <w:szCs w:val="32"/>
        </w:rPr>
        <w:t xml:space="preserve">第五条 补偿方式选择的引导奖励 </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 xml:space="preserve">（一）被征收人选择货币补偿的，住宅按照被征收房屋评估价值的12%给予奖励，非住宅按照被征收房屋评估价值的5%给予奖励；同一产权房屋中既有住宅又有非住宅的，分别计算奖励。  </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二）被征收房屋为住宅，被征收人在规定的签约期限内签约并在协议约定的期限内完成搬迁的，选择货币补偿的按照被征收房屋评估单价给予5平方米的价值奖励；选择产权调换的按照被征收房屋评估单价给予3平方米的价值奖励。</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方正黑体_GBK" w:hAnsi="方正黑体_GBK" w:eastAsia="方正黑体_GBK" w:cs="方正黑体_GBK"/>
          <w:snapToGrid w:val="0"/>
          <w:spacing w:val="0"/>
          <w:kern w:val="0"/>
          <w:sz w:val="32"/>
          <w:szCs w:val="32"/>
        </w:rPr>
      </w:pPr>
      <w:r>
        <w:rPr>
          <w:rFonts w:hint="eastAsia" w:ascii="方正黑体_GBK" w:hAnsi="方正黑体_GBK" w:eastAsia="方正黑体_GBK" w:cs="方正黑体_GBK"/>
          <w:snapToGrid w:val="0"/>
          <w:spacing w:val="0"/>
          <w:kern w:val="0"/>
          <w:sz w:val="32"/>
          <w:szCs w:val="32"/>
        </w:rPr>
        <w:t>第六</w:t>
      </w:r>
      <w:bookmarkStart w:id="1" w:name="_Hlk96669646"/>
      <w:r>
        <w:rPr>
          <w:rFonts w:hint="eastAsia" w:ascii="方正黑体_GBK" w:hAnsi="方正黑体_GBK" w:eastAsia="方正黑体_GBK" w:cs="方正黑体_GBK"/>
          <w:snapToGrid w:val="0"/>
          <w:spacing w:val="0"/>
          <w:kern w:val="0"/>
          <w:sz w:val="32"/>
          <w:szCs w:val="32"/>
        </w:rPr>
        <w:t>条 单户提前签约奖励</w:t>
      </w:r>
      <w:bookmarkEnd w:id="1"/>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（一）被征收人在规定的签约期限内提前签约，按照住宅500元/户·日、非住宅20元/平方米·日的标准给予单户提前签约奖励。同一产权房屋中既有住宅又有非住宅的，分别计算奖励。</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二）提前天数自被征收人签约之日起计算，截至签约期限届满之日为止，最高不超过规定的签约期限。因旧城区改建需要征收房屋，被征收人预签协议达到生效条件的，视为签约期首日签约，全额享受单户提前签约奖励。</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方正黑体_GBK" w:hAnsi="方正黑体_GBK" w:eastAsia="方正黑体_GBK" w:cs="方正黑体_GBK"/>
          <w:snapToGrid w:val="0"/>
          <w:spacing w:val="0"/>
          <w:kern w:val="0"/>
          <w:sz w:val="32"/>
          <w:szCs w:val="32"/>
        </w:rPr>
      </w:pPr>
      <w:r>
        <w:rPr>
          <w:rFonts w:hint="eastAsia" w:ascii="方正黑体_GBK" w:hAnsi="方正黑体_GBK" w:eastAsia="方正黑体_GBK" w:cs="方正黑体_GBK"/>
          <w:snapToGrid w:val="0"/>
          <w:spacing w:val="0"/>
          <w:kern w:val="0"/>
          <w:sz w:val="32"/>
          <w:szCs w:val="32"/>
        </w:rPr>
        <w:t>第七条 单户按期搬迁奖励</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被征收人在规定的签约期限内签约并在协议约定的期限内完成搬迁，或者在规定的签约期限内主动搬迁的，给予30000元/户的单户按期搬迁奖励。</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方正黑体_GBK" w:hAnsi="方正黑体_GBK" w:eastAsia="方正黑体_GBK" w:cs="方正黑体_GBK"/>
          <w:snapToGrid w:val="0"/>
          <w:spacing w:val="0"/>
          <w:kern w:val="0"/>
          <w:sz w:val="32"/>
          <w:szCs w:val="32"/>
        </w:rPr>
      </w:pPr>
      <w:r>
        <w:rPr>
          <w:rFonts w:hint="eastAsia" w:ascii="方正黑体_GBK" w:hAnsi="方正黑体_GBK" w:eastAsia="方正黑体_GBK" w:cs="方正黑体_GBK"/>
          <w:snapToGrid w:val="0"/>
          <w:spacing w:val="0"/>
          <w:kern w:val="0"/>
          <w:sz w:val="32"/>
          <w:szCs w:val="32"/>
        </w:rPr>
        <w:t>第八条 搬迁补助</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（一</w:t>
      </w:r>
      <w:r>
        <w:rPr>
          <w:rFonts w:hint="eastAsia" w:ascii="Times New Roman" w:hAnsi="Times New Roman" w:eastAsia="方正仿宋_GBK" w:cs="Times New Roman"/>
          <w:snapToGrid w:val="0"/>
          <w:spacing w:val="0"/>
          <w:kern w:val="0"/>
          <w:sz w:val="32"/>
          <w:szCs w:val="32"/>
          <w:u w:val="none"/>
          <w:lang w:eastAsia="zh-CN"/>
        </w:rPr>
        <w:t>）</w:t>
      </w:r>
      <w:r>
        <w:rPr>
          <w:rFonts w:hint="eastAsia" w:ascii="Times New Roman" w:hAnsi="Times New Roman" w:eastAsia="方正仿宋_GBK" w:cs="Times New Roman"/>
          <w:snapToGrid w:val="0"/>
          <w:spacing w:val="0"/>
          <w:kern w:val="0"/>
          <w:sz w:val="32"/>
          <w:szCs w:val="32"/>
          <w:u w:val="none"/>
        </w:rPr>
        <w:t>根据被征收房屋用途计算给予搬迁补助，具体标准为：</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1</w:t>
      </w:r>
      <w:r>
        <w:rPr>
          <w:rFonts w:hint="eastAsia" w:ascii="Times New Roman" w:hAnsi="Times New Roman" w:eastAsia="方正仿宋_GBK" w:cs="Times New Roman"/>
          <w:snapToGrid w:val="0"/>
          <w:spacing w:val="0"/>
          <w:kern w:val="0"/>
          <w:sz w:val="32"/>
          <w:szCs w:val="32"/>
          <w:u w:val="none"/>
          <w:lang w:val="en"/>
        </w:rPr>
        <w:t>.</w:t>
      </w:r>
      <w:r>
        <w:rPr>
          <w:rFonts w:hint="eastAsia" w:ascii="Times New Roman" w:hAnsi="Times New Roman" w:eastAsia="方正仿宋_GBK" w:cs="Times New Roman"/>
          <w:snapToGrid w:val="0"/>
          <w:spacing w:val="0"/>
          <w:kern w:val="0"/>
          <w:sz w:val="32"/>
          <w:szCs w:val="32"/>
          <w:u w:val="none"/>
        </w:rPr>
        <w:t>住宅2000元/户·次；</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2</w:t>
      </w:r>
      <w:r>
        <w:rPr>
          <w:rFonts w:hint="eastAsia" w:ascii="Times New Roman" w:hAnsi="Times New Roman" w:eastAsia="方正仿宋_GBK" w:cs="Times New Roman"/>
          <w:snapToGrid w:val="0"/>
          <w:spacing w:val="0"/>
          <w:kern w:val="0"/>
          <w:sz w:val="32"/>
          <w:szCs w:val="32"/>
          <w:u w:val="none"/>
          <w:lang w:val="en"/>
        </w:rPr>
        <w:t>.</w:t>
      </w:r>
      <w:r>
        <w:rPr>
          <w:rFonts w:hint="eastAsia" w:ascii="Times New Roman" w:hAnsi="Times New Roman" w:eastAsia="方正仿宋_GBK" w:cs="Times New Roman"/>
          <w:snapToGrid w:val="0"/>
          <w:spacing w:val="0"/>
          <w:kern w:val="0"/>
          <w:sz w:val="32"/>
          <w:szCs w:val="32"/>
          <w:u w:val="none"/>
        </w:rPr>
        <w:t>非住宅：商业、办公、业务用房30元／平方米·次；生产用房40元／平方米·次。</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同一产权房屋中既有住宅又有非住宅的，分别计算搬迁补助。</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方正仿宋_GBK" w:hAnsi="方正仿宋_GBK" w:eastAsia="方正仿宋_GBK" w:cs="方正仿宋_GBK"/>
          <w:snapToGrid w:val="0"/>
          <w:spacing w:val="0"/>
          <w:kern w:val="0"/>
          <w:sz w:val="32"/>
          <w:szCs w:val="32"/>
        </w:rPr>
      </w:pPr>
      <w:r>
        <w:rPr>
          <w:rFonts w:hint="eastAsia" w:ascii="Times New Roman" w:hAnsi="Times New Roman" w:eastAsia="方正仿宋_GBK" w:cs="Times New Roman"/>
          <w:snapToGrid w:val="0"/>
          <w:spacing w:val="0"/>
          <w:kern w:val="0"/>
          <w:sz w:val="32"/>
          <w:szCs w:val="32"/>
          <w:u w:val="none"/>
        </w:rPr>
        <w:t>（二）被征收人选择货币补偿方式的，享受1次搬迁补助；被征收人选择产权调换补偿方式的，享受2次搬迁补助。</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方正黑体_GBK" w:hAnsi="方正黑体_GBK" w:eastAsia="方正黑体_GBK" w:cs="方正黑体_GBK"/>
          <w:snapToGrid w:val="0"/>
          <w:spacing w:val="0"/>
          <w:kern w:val="0"/>
          <w:sz w:val="32"/>
          <w:szCs w:val="32"/>
        </w:rPr>
      </w:pPr>
      <w:r>
        <w:rPr>
          <w:rFonts w:hint="eastAsia" w:ascii="方正黑体_GBK" w:hAnsi="方正黑体_GBK" w:eastAsia="方正黑体_GBK" w:cs="方正黑体_GBK"/>
          <w:snapToGrid w:val="0"/>
          <w:spacing w:val="0"/>
          <w:kern w:val="0"/>
          <w:sz w:val="32"/>
          <w:szCs w:val="32"/>
        </w:rPr>
        <w:t xml:space="preserve">第九条 临时安置补助 </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（一）被征收房屋为住宅</w:t>
      </w:r>
      <w:r>
        <w:rPr>
          <w:rFonts w:hint="eastAsia" w:ascii="Times New Roman" w:hAnsi="Times New Roman" w:eastAsia="方正仿宋_GBK" w:cs="Times New Roman"/>
          <w:snapToGrid w:val="0"/>
          <w:spacing w:val="0"/>
          <w:kern w:val="0"/>
          <w:sz w:val="32"/>
          <w:szCs w:val="32"/>
          <w:u w:val="none"/>
          <w:lang w:val="en-US" w:eastAsia="zh-CN"/>
        </w:rPr>
        <w:t>，</w:t>
      </w:r>
      <w:r>
        <w:rPr>
          <w:rFonts w:hint="eastAsia" w:ascii="Times New Roman" w:hAnsi="Times New Roman" w:eastAsia="方正仿宋_GBK" w:cs="Times New Roman"/>
          <w:snapToGrid w:val="0"/>
          <w:spacing w:val="0"/>
          <w:kern w:val="0"/>
          <w:sz w:val="32"/>
          <w:szCs w:val="32"/>
          <w:u w:val="none"/>
        </w:rPr>
        <w:t>被征收人选择产权调换补偿方式，且征收人未提供临时周转房屋的，按户给予临时安置补助，标准为：被征收房屋面积30平方米以下的，按照30元/平方米·月；被征收房屋面积30平方米以上45平方米以下的，按900元/月标准发放；被征收房屋面积超过45平方米的，超出部分按照每户11-15元/平方米·月的标准发放（超出部分的具体标准按征收区域而定，在征收补偿方案中体现）。产权调换房屋为现房的，发放3个月临时安置补助。产权调换房屋为期房的，临时安置补助自征收协议签订并交旧房之月起计算，至通知接房之次月起3个月止。</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Times New Roman" w:hAnsi="Times New Roman" w:eastAsia="方正仿宋_GBK" w:cs="Times New Roman"/>
          <w:snapToGrid w:val="0"/>
          <w:spacing w:val="0"/>
          <w:kern w:val="0"/>
          <w:sz w:val="32"/>
          <w:szCs w:val="32"/>
          <w:u w:val="none"/>
        </w:rPr>
      </w:pPr>
      <w:r>
        <w:rPr>
          <w:rFonts w:hint="eastAsia" w:ascii="Times New Roman" w:hAnsi="Times New Roman" w:eastAsia="方正仿宋_GBK" w:cs="Times New Roman"/>
          <w:snapToGrid w:val="0"/>
          <w:spacing w:val="0"/>
          <w:kern w:val="0"/>
          <w:sz w:val="32"/>
          <w:szCs w:val="32"/>
          <w:u w:val="none"/>
        </w:rPr>
        <w:t>（二）经认定参照有证房屋处置的未经登记建筑的临时安置补助参照以上标准执行；被征收人既有有证建筑又有认定为参照有证房屋处置的未经登记建筑，合并计算面积后，按一户计算临时安置补助。</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0"/>
        <w:textAlignment w:val="auto"/>
        <w:outlineLvl w:val="9"/>
        <w:rPr>
          <w:rFonts w:hint="eastAsia" w:ascii="方正黑体_GBK" w:hAnsi="方正黑体_GBK" w:eastAsia="方正黑体_GBK" w:cs="方正黑体_GBK"/>
          <w:snapToGrid w:val="0"/>
          <w:spacing w:val="0"/>
          <w:kern w:val="0"/>
          <w:sz w:val="32"/>
          <w:szCs w:val="32"/>
        </w:rPr>
      </w:pPr>
      <w:r>
        <w:rPr>
          <w:rFonts w:hint="eastAsia" w:ascii="方正黑体_GBK" w:hAnsi="方正黑体_GBK" w:eastAsia="方正黑体_GBK" w:cs="方正黑体_GBK"/>
          <w:snapToGrid w:val="0"/>
          <w:spacing w:val="0"/>
          <w:kern w:val="0"/>
          <w:sz w:val="32"/>
          <w:szCs w:val="32"/>
        </w:rPr>
        <w:t>第十条 除有特别说明外，本标准中的户系指被征收房屋的产权户和经认定公示的公房承租户；以上和以下均包含本数；被征收房屋面积系由房屋产权证载建筑面积和按规定享受最低住房保障政策补足部分面积组成；被征收房屋评估价值系指被征收房屋产权证载建筑面积和按规定享受最低住房保障政策补足部分面积所对应的评估价值。</w:t>
      </w:r>
    </w:p>
    <w:p>
      <w:pPr>
        <w:pStyle w:val="16"/>
        <w:keepNext w:val="0"/>
        <w:keepLines w:val="0"/>
        <w:pageBreakBefore w:val="0"/>
        <w:widowControl/>
        <w:kinsoku/>
        <w:wordWrap/>
        <w:overflowPunct/>
        <w:topLinePunct w:val="0"/>
        <w:autoSpaceDE w:val="0"/>
        <w:autoSpaceDN w:val="0"/>
        <w:bidi w:val="0"/>
        <w:adjustRightInd w:val="0"/>
        <w:snapToGrid/>
        <w:spacing w:line="600" w:lineRule="exact"/>
        <w:ind w:firstLine="850" w:firstLineChars="200"/>
        <w:textAlignment w:val="auto"/>
        <w:outlineLvl w:val="9"/>
        <w:rPr>
          <w:rFonts w:hint="eastAsia" w:ascii="Times New Roman" w:hAnsi="Times New Roman" w:eastAsia="方正仿宋_GBK" w:cs="Times New Roman"/>
          <w:snapToGrid w:val="0"/>
          <w:color w:val="auto"/>
          <w:spacing w:val="0"/>
          <w:kern w:val="0"/>
          <w:sz w:val="32"/>
          <w:szCs w:val="32"/>
          <w:u w:val="none"/>
          <w:lang w:val="en-US" w:eastAsia="zh-CN" w:bidi="ar-SA"/>
        </w:rPr>
        <w:sectPr>
          <w:headerReference r:id="rId9" w:type="default"/>
          <w:footerReference r:id="rId11" w:type="default"/>
          <w:headerReference r:id="rId10" w:type="even"/>
          <w:footerReference r:id="rId12" w:type="even"/>
          <w:pgSz w:w="11905" w:h="16838"/>
          <w:pgMar w:top="2098" w:right="1531" w:bottom="1984" w:left="1531" w:header="851" w:footer="1361" w:gutter="0"/>
          <w:pgNumType w:fmt="numberInDash"/>
          <w:cols w:space="720" w:num="1"/>
          <w:rtlGutter w:val="0"/>
          <w:docGrid w:type="linesAndChars" w:linePitch="579" w:charSpace="21672"/>
        </w:sectPr>
      </w:pPr>
      <w:r>
        <w:rPr>
          <w:rFonts w:hint="eastAsia" w:ascii="方正黑体_GBK" w:hAnsi="方正黑体_GBK" w:eastAsia="方正黑体_GBK" w:cs="方正黑体_GBK"/>
          <w:snapToGrid w:val="0"/>
          <w:spacing w:val="0"/>
          <w:kern w:val="0"/>
          <w:sz w:val="32"/>
          <w:szCs w:val="32"/>
        </w:rPr>
        <w:t>第十一条 本标准自印发之日起实施。</w:t>
      </w:r>
      <w:r>
        <w:rPr>
          <w:rFonts w:hint="eastAsia" w:ascii="Times New Roman" w:hAnsi="Times New Roman" w:eastAsia="方正仿宋_GBK" w:cs="Times New Roman"/>
          <w:snapToGrid w:val="0"/>
          <w:color w:val="auto"/>
          <w:spacing w:val="0"/>
          <w:kern w:val="0"/>
          <w:sz w:val="32"/>
          <w:szCs w:val="32"/>
          <w:u w:val="none"/>
          <w:lang w:val="en-US" w:eastAsia="zh-CN" w:bidi="ar-SA"/>
        </w:rPr>
        <w:t>本标准实施前已经发布房屋征收决定公告的项目，补偿、补助和奖励按已公布的补偿方案执行。</w:t>
      </w:r>
    </w:p>
    <w:p>
      <w:pPr>
        <w:rPr>
          <w:rFonts w:hint="eastAsia" w:ascii="Calibri" w:hAnsi="Calibri"/>
          <w:szCs w:val="24"/>
        </w:rPr>
      </w:pPr>
    </w:p>
    <w:p>
      <w:pPr>
        <w:widowControl w:val="0"/>
        <w:spacing w:line="600" w:lineRule="exact"/>
        <w:ind w:firstLine="0" w:firstLineChars="0"/>
        <w:jc w:val="center"/>
        <w:rPr>
          <w:rFonts w:hint="eastAsia" w:ascii="Calibri" w:hAnsi="Calibri" w:eastAsia="方正小标宋_GBK"/>
          <w:snapToGrid w:val="0"/>
          <w:color w:val="000000"/>
          <w:spacing w:val="0"/>
          <w:kern w:val="0"/>
          <w:sz w:val="44"/>
          <w:szCs w:val="44"/>
          <w:lang w:eastAsia="zh-CN"/>
        </w:rPr>
      </w:pPr>
      <w:r>
        <w:rPr>
          <w:rFonts w:hint="eastAsia" w:ascii="Calibri" w:hAnsi="Calibri" w:eastAsia="方正小标宋_GBK"/>
          <w:snapToGrid w:val="0"/>
          <w:color w:val="000000"/>
          <w:spacing w:val="0"/>
          <w:kern w:val="0"/>
          <w:sz w:val="44"/>
          <w:szCs w:val="44"/>
        </w:rPr>
        <w:t>重庆市巴南区</w:t>
      </w:r>
      <w:r>
        <w:rPr>
          <w:rFonts w:ascii="Calibri" w:hAnsi="Calibri" w:eastAsia="方正小标宋_GBK"/>
          <w:snapToGrid w:val="0"/>
          <w:color w:val="000000"/>
          <w:spacing w:val="0"/>
          <w:kern w:val="0"/>
          <w:sz w:val="44"/>
          <w:szCs w:val="44"/>
        </w:rPr>
        <w:t>房屋征收补偿</w:t>
      </w:r>
      <w:r>
        <w:rPr>
          <w:rFonts w:hint="eastAsia" w:ascii="Calibri" w:hAnsi="Calibri" w:eastAsia="方正小标宋_GBK"/>
          <w:snapToGrid w:val="0"/>
          <w:color w:val="000000"/>
          <w:spacing w:val="0"/>
          <w:kern w:val="0"/>
          <w:sz w:val="44"/>
          <w:szCs w:val="44"/>
        </w:rPr>
        <w:t>及奖励补助</w:t>
      </w:r>
      <w:r>
        <w:rPr>
          <w:rFonts w:ascii="Calibri" w:hAnsi="Calibri" w:eastAsia="方正小标宋_GBK"/>
          <w:snapToGrid w:val="0"/>
          <w:color w:val="000000"/>
          <w:spacing w:val="0"/>
          <w:kern w:val="0"/>
          <w:sz w:val="44"/>
          <w:szCs w:val="44"/>
        </w:rPr>
        <w:t>标准</w:t>
      </w:r>
      <w:r>
        <w:rPr>
          <w:rFonts w:hint="eastAsia" w:ascii="Calibri" w:hAnsi="Calibri" w:eastAsia="方正小标宋_GBK"/>
          <w:snapToGrid w:val="0"/>
          <w:color w:val="000000"/>
          <w:spacing w:val="0"/>
          <w:kern w:val="0"/>
          <w:sz w:val="44"/>
          <w:szCs w:val="44"/>
        </w:rPr>
        <w:t>（试行）</w:t>
      </w:r>
    </w:p>
    <w:tbl>
      <w:tblPr>
        <w:tblStyle w:val="15"/>
        <w:tblW w:w="14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
        <w:gridCol w:w="709"/>
        <w:gridCol w:w="351"/>
        <w:gridCol w:w="475"/>
        <w:gridCol w:w="133"/>
        <w:gridCol w:w="742"/>
        <w:gridCol w:w="2567"/>
        <w:gridCol w:w="3760"/>
        <w:gridCol w:w="4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blHeader/>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b/>
                <w:snapToGrid w:val="0"/>
                <w:color w:val="000000"/>
                <w:spacing w:val="0"/>
                <w:kern w:val="0"/>
                <w:sz w:val="18"/>
                <w:szCs w:val="18"/>
              </w:rPr>
            </w:pPr>
            <w:r>
              <w:rPr>
                <w:rFonts w:hint="eastAsia" w:ascii="宋体" w:hAnsi="宋体" w:eastAsia="宋体" w:cs="宋体"/>
                <w:b/>
                <w:snapToGrid w:val="0"/>
                <w:color w:val="000000"/>
                <w:spacing w:val="0"/>
                <w:kern w:val="0"/>
                <w:sz w:val="18"/>
                <w:szCs w:val="18"/>
              </w:rPr>
              <w:t>序号</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b/>
                <w:snapToGrid w:val="0"/>
                <w:color w:val="000000"/>
                <w:spacing w:val="0"/>
                <w:kern w:val="0"/>
                <w:sz w:val="18"/>
                <w:szCs w:val="18"/>
              </w:rPr>
            </w:pPr>
            <w:r>
              <w:rPr>
                <w:rFonts w:hint="eastAsia" w:ascii="宋体" w:hAnsi="宋体" w:eastAsia="宋体" w:cs="宋体"/>
                <w:b/>
                <w:snapToGrid w:val="0"/>
                <w:color w:val="000000"/>
                <w:spacing w:val="0"/>
                <w:kern w:val="0"/>
                <w:sz w:val="18"/>
                <w:szCs w:val="18"/>
              </w:rPr>
              <w:t>科目</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b/>
                <w:snapToGrid w:val="0"/>
                <w:color w:val="000000"/>
                <w:spacing w:val="0"/>
                <w:kern w:val="0"/>
                <w:sz w:val="18"/>
                <w:szCs w:val="18"/>
              </w:rPr>
            </w:pPr>
            <w:r>
              <w:rPr>
                <w:rFonts w:hint="eastAsia" w:ascii="宋体" w:hAnsi="宋体" w:eastAsia="宋体" w:cs="宋体"/>
                <w:b/>
                <w:snapToGrid w:val="0"/>
                <w:color w:val="000000"/>
                <w:spacing w:val="0"/>
                <w:kern w:val="0"/>
                <w:sz w:val="18"/>
                <w:szCs w:val="18"/>
              </w:rPr>
              <w:t>费额标准</w:t>
            </w:r>
          </w:p>
        </w:tc>
        <w:tc>
          <w:tcPr>
            <w:tcW w:w="836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b/>
                <w:snapToGrid w:val="0"/>
                <w:color w:val="000000"/>
                <w:spacing w:val="0"/>
                <w:kern w:val="0"/>
                <w:sz w:val="18"/>
                <w:szCs w:val="18"/>
              </w:rPr>
            </w:pPr>
            <w:r>
              <w:rPr>
                <w:rFonts w:hint="eastAsia" w:ascii="宋体" w:hAnsi="宋体" w:eastAsia="宋体" w:cs="宋体"/>
                <w:b/>
                <w:snapToGrid w:val="0"/>
                <w:color w:val="000000"/>
                <w:spacing w:val="0"/>
                <w:kern w:val="0"/>
                <w:sz w:val="18"/>
                <w:szCs w:val="18"/>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709" w:type="dxa"/>
            <w:vMerge w:val="restart"/>
            <w:tcBorders>
              <w:top w:val="single" w:color="auto" w:sz="4" w:space="0"/>
              <w:left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b/>
                <w:snapToGrid w:val="0"/>
                <w:color w:val="000000"/>
                <w:spacing w:val="0"/>
                <w:kern w:val="0"/>
                <w:sz w:val="18"/>
                <w:szCs w:val="18"/>
                <w:lang w:val="en-US" w:eastAsia="zh-CN" w:bidi="ar-SA"/>
              </w:rPr>
            </w:pPr>
            <w:r>
              <w:rPr>
                <w:rFonts w:hint="eastAsia" w:ascii="宋体" w:hAnsi="宋体" w:eastAsia="宋体" w:cs="宋体"/>
                <w:b/>
                <w:snapToGrid w:val="0"/>
                <w:color w:val="000000"/>
                <w:spacing w:val="0"/>
                <w:kern w:val="0"/>
                <w:sz w:val="18"/>
                <w:szCs w:val="18"/>
              </w:rPr>
              <w:t>损失补偿</w:t>
            </w:r>
          </w:p>
        </w:tc>
        <w:tc>
          <w:tcPr>
            <w:tcW w:w="425" w:type="dxa"/>
            <w:vMerge w:val="restart"/>
            <w:tcBorders>
              <w:top w:val="single" w:color="auto" w:sz="4" w:space="0"/>
              <w:left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1</w:t>
            </w:r>
          </w:p>
        </w:tc>
        <w:tc>
          <w:tcPr>
            <w:tcW w:w="1060" w:type="dxa"/>
            <w:gridSpan w:val="2"/>
            <w:vMerge w:val="restart"/>
            <w:tcBorders>
              <w:top w:val="single" w:color="auto" w:sz="4" w:space="0"/>
              <w:left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停产停业损失补偿</w:t>
            </w:r>
          </w:p>
        </w:tc>
        <w:tc>
          <w:tcPr>
            <w:tcW w:w="1350" w:type="dxa"/>
            <w:gridSpan w:val="3"/>
            <w:vMerge w:val="restart"/>
            <w:tcBorders>
              <w:top w:val="single" w:color="auto" w:sz="4" w:space="0"/>
              <w:left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非住宅</w:t>
            </w:r>
          </w:p>
        </w:tc>
        <w:tc>
          <w:tcPr>
            <w:tcW w:w="2567" w:type="dxa"/>
            <w:tcBorders>
              <w:top w:val="single" w:color="auto" w:sz="4" w:space="0"/>
              <w:left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highlight w:val="yellow"/>
              </w:rPr>
            </w:pPr>
            <w:r>
              <w:rPr>
                <w:rFonts w:hint="eastAsia" w:ascii="宋体" w:hAnsi="宋体" w:eastAsia="宋体" w:cs="宋体"/>
                <w:snapToGrid w:val="0"/>
                <w:color w:val="000000"/>
                <w:spacing w:val="0"/>
                <w:kern w:val="0"/>
                <w:sz w:val="18"/>
                <w:szCs w:val="18"/>
              </w:rPr>
              <w:t>房屋评估价值的6%</w:t>
            </w:r>
          </w:p>
        </w:tc>
        <w:tc>
          <w:tcPr>
            <w:tcW w:w="8363" w:type="dxa"/>
            <w:gridSpan w:val="2"/>
            <w:vMerge w:val="restart"/>
            <w:tcBorders>
              <w:top w:val="single" w:color="auto" w:sz="4" w:space="0"/>
              <w:left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1.被征收人选择货币补偿的，按照房屋评估价值的6%一次性支付停产停业损失补偿费；被征收人选择产权调换的，停产停业期间每月按照房屋评估价值的5‰支付停产停业损失补偿费，停产停业期限按照协议约定计算。已提供临时周转房的，不支付停产停业损失补偿费。区房屋征收部门未按协议约定日期交付产权调换房屋，导致过渡期限延长的，自逾期之月起每月按照房屋评估价值的5‰加付停产停业损失补偿费。</w:t>
            </w:r>
          </w:p>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2.被征收房屋符合前款规定，且用于生产制造的，停产停业损失的补偿标准可以适当提高，提高的幅度不超过前款规定补偿标准的50%。</w:t>
            </w:r>
          </w:p>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3.被征收房屋的生产、经营单位或个人不是被征收人的，依照与被征收人的约定分配停产停业损失；没有约定的，由被征收人和生产、经营的单位或个人协商解决，协商不成的，由被征收人和生产、经营的单位或个人通过法律途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jc w:val="center"/>
        </w:trPr>
        <w:tc>
          <w:tcPr>
            <w:tcW w:w="709" w:type="dxa"/>
            <w:vMerge w:val="continue"/>
            <w:tcBorders>
              <w:left w:val="single" w:color="auto" w:sz="4" w:space="0"/>
              <w:right w:val="single" w:color="auto" w:sz="4" w:space="0"/>
            </w:tcBorders>
            <w:vAlign w:val="center"/>
          </w:tcPr>
          <w:p>
            <w:pPr>
              <w:widowControl w:val="0"/>
              <w:spacing w:line="560" w:lineRule="exact"/>
              <w:ind w:left="0" w:firstLine="422"/>
              <w:jc w:val="both"/>
              <w:rPr>
                <w:rFonts w:hint="eastAsia" w:ascii="宋体" w:hAnsi="宋体" w:eastAsia="宋体" w:cs="宋体"/>
                <w:b/>
                <w:snapToGrid w:val="0"/>
                <w:color w:val="000000"/>
                <w:spacing w:val="0"/>
                <w:kern w:val="0"/>
                <w:sz w:val="18"/>
                <w:szCs w:val="18"/>
                <w:lang w:val="en-US" w:eastAsia="zh-CN" w:bidi="ar-SA"/>
              </w:rPr>
            </w:pPr>
          </w:p>
        </w:tc>
        <w:tc>
          <w:tcPr>
            <w:tcW w:w="425" w:type="dxa"/>
            <w:vMerge w:val="continue"/>
            <w:tcBorders>
              <w:left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p>
        </w:tc>
        <w:tc>
          <w:tcPr>
            <w:tcW w:w="1060" w:type="dxa"/>
            <w:gridSpan w:val="2"/>
            <w:vMerge w:val="continue"/>
            <w:tcBorders>
              <w:left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p>
        </w:tc>
        <w:tc>
          <w:tcPr>
            <w:tcW w:w="1350" w:type="dxa"/>
            <w:gridSpan w:val="3"/>
            <w:vMerge w:val="continue"/>
            <w:tcBorders>
              <w:left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p>
        </w:tc>
        <w:tc>
          <w:tcPr>
            <w:tcW w:w="2567" w:type="dxa"/>
            <w:tcBorders>
              <w:top w:val="single" w:color="auto" w:sz="4" w:space="0"/>
              <w:left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highlight w:val="yellow"/>
              </w:rPr>
            </w:pPr>
            <w:r>
              <w:rPr>
                <w:rFonts w:hint="eastAsia" w:ascii="宋体" w:hAnsi="宋体" w:eastAsia="宋体" w:cs="宋体"/>
                <w:snapToGrid w:val="0"/>
                <w:color w:val="000000"/>
                <w:spacing w:val="0"/>
                <w:kern w:val="0"/>
                <w:sz w:val="18"/>
                <w:szCs w:val="18"/>
              </w:rPr>
              <w:t>房屋评估价值的5‰·月</w:t>
            </w:r>
          </w:p>
        </w:tc>
        <w:tc>
          <w:tcPr>
            <w:tcW w:w="8363" w:type="dxa"/>
            <w:gridSpan w:val="2"/>
            <w:vMerge w:val="continue"/>
            <w:tcBorders>
              <w:left w:val="single" w:color="auto" w:sz="4" w:space="0"/>
              <w:bottom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709" w:type="dxa"/>
            <w:vMerge w:val="continue"/>
            <w:tcBorders>
              <w:left w:val="single" w:color="auto" w:sz="4" w:space="0"/>
              <w:right w:val="single" w:color="auto" w:sz="4" w:space="0"/>
            </w:tcBorders>
            <w:vAlign w:val="center"/>
          </w:tcPr>
          <w:p>
            <w:pPr>
              <w:widowControl w:val="0"/>
              <w:spacing w:line="560" w:lineRule="exact"/>
              <w:ind w:left="0" w:firstLine="422"/>
              <w:jc w:val="both"/>
              <w:rPr>
                <w:rFonts w:hint="eastAsia" w:ascii="宋体" w:hAnsi="宋体" w:eastAsia="宋体" w:cs="宋体"/>
                <w:b/>
                <w:snapToGrid w:val="0"/>
                <w:color w:val="000000"/>
                <w:spacing w:val="0"/>
                <w:kern w:val="0"/>
                <w:sz w:val="18"/>
                <w:szCs w:val="18"/>
                <w:lang w:val="en-US" w:eastAsia="zh-CN" w:bidi="ar-SA"/>
              </w:rPr>
            </w:pPr>
          </w:p>
        </w:tc>
        <w:tc>
          <w:tcPr>
            <w:tcW w:w="425" w:type="dxa"/>
            <w:vMerge w:val="continue"/>
            <w:tcBorders>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p>
        </w:tc>
        <w:tc>
          <w:tcPr>
            <w:tcW w:w="1060" w:type="dxa"/>
            <w:gridSpan w:val="2"/>
            <w:vMerge w:val="continue"/>
            <w:tcBorders>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p>
        </w:tc>
        <w:tc>
          <w:tcPr>
            <w:tcW w:w="1350" w:type="dxa"/>
            <w:gridSpan w:val="3"/>
            <w:tcBorders>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住改非</w:t>
            </w:r>
          </w:p>
        </w:tc>
        <w:tc>
          <w:tcPr>
            <w:tcW w:w="2567" w:type="dxa"/>
            <w:tcBorders>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highlight w:val="yellow"/>
              </w:rPr>
            </w:pPr>
            <w:r>
              <w:rPr>
                <w:rFonts w:hint="eastAsia" w:ascii="宋体" w:hAnsi="宋体" w:eastAsia="宋体" w:cs="宋体"/>
                <w:snapToGrid w:val="0"/>
                <w:color w:val="000000"/>
                <w:spacing w:val="0"/>
                <w:kern w:val="0"/>
                <w:sz w:val="18"/>
                <w:szCs w:val="18"/>
              </w:rPr>
              <w:t>房屋评估价值的6%</w:t>
            </w:r>
          </w:p>
        </w:tc>
        <w:tc>
          <w:tcPr>
            <w:tcW w:w="836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按照《重庆市巴南区国有土地上房屋征收与补偿实施办法》第49条规定执行。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09" w:type="dxa"/>
            <w:vMerge w:val="continue"/>
            <w:tcBorders>
              <w:left w:val="single" w:color="auto" w:sz="4" w:space="0"/>
              <w:right w:val="single" w:color="auto" w:sz="4" w:space="0"/>
            </w:tcBorders>
            <w:vAlign w:val="center"/>
          </w:tcPr>
          <w:p>
            <w:pPr>
              <w:widowControl w:val="0"/>
              <w:spacing w:line="560" w:lineRule="exact"/>
              <w:ind w:left="0" w:firstLine="422"/>
              <w:jc w:val="both"/>
              <w:rPr>
                <w:rFonts w:hint="eastAsia" w:ascii="宋体" w:hAnsi="宋体" w:eastAsia="宋体" w:cs="宋体"/>
                <w:b/>
                <w:snapToGrid w:val="0"/>
                <w:color w:val="000000"/>
                <w:spacing w:val="0"/>
                <w:kern w:val="0"/>
                <w:sz w:val="18"/>
                <w:szCs w:val="18"/>
                <w:lang w:val="en-US" w:eastAsia="zh-CN" w:bidi="ar-SA"/>
              </w:rPr>
            </w:pPr>
          </w:p>
        </w:tc>
        <w:tc>
          <w:tcPr>
            <w:tcW w:w="425" w:type="dxa"/>
            <w:vMerge w:val="restart"/>
            <w:tcBorders>
              <w:top w:val="single" w:color="auto" w:sz="4" w:space="0"/>
              <w:left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2</w:t>
            </w:r>
          </w:p>
        </w:tc>
        <w:tc>
          <w:tcPr>
            <w:tcW w:w="1060" w:type="dxa"/>
            <w:gridSpan w:val="2"/>
            <w:vMerge w:val="restart"/>
            <w:tcBorders>
              <w:top w:val="single" w:color="auto" w:sz="4" w:space="0"/>
              <w:left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室内装饰装修</w:t>
            </w:r>
          </w:p>
        </w:tc>
        <w:tc>
          <w:tcPr>
            <w:tcW w:w="1350" w:type="dxa"/>
            <w:gridSpan w:val="3"/>
            <w:tcBorders>
              <w:top w:val="single" w:color="auto" w:sz="4" w:space="0"/>
              <w:left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住宅</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400元/平方米</w:t>
            </w:r>
          </w:p>
        </w:tc>
        <w:tc>
          <w:tcPr>
            <w:tcW w:w="8363" w:type="dxa"/>
            <w:gridSpan w:val="2"/>
            <w:vMerge w:val="restart"/>
            <w:tcBorders>
              <w:top w:val="single" w:color="auto" w:sz="4" w:space="0"/>
              <w:left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1.针对被征收人有证房屋及认定为合法建筑的房屋；</w:t>
            </w:r>
          </w:p>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2.被征收人对补偿标准有异议的，</w:t>
            </w:r>
            <w:r>
              <w:rPr>
                <w:rFonts w:hint="eastAsia" w:ascii="宋体" w:hAnsi="宋体" w:eastAsia="宋体" w:cs="宋体"/>
                <w:snapToGrid w:val="0"/>
                <w:color w:val="000000"/>
                <w:spacing w:val="0"/>
                <w:kern w:val="0"/>
                <w:sz w:val="18"/>
                <w:szCs w:val="18"/>
                <w:lang w:eastAsia="zh-CN"/>
              </w:rPr>
              <w:t>由房屋征收当事人协商确定；协商不成的，</w:t>
            </w:r>
            <w:r>
              <w:rPr>
                <w:rFonts w:hint="eastAsia" w:ascii="宋体" w:hAnsi="宋体" w:eastAsia="宋体" w:cs="宋体"/>
                <w:snapToGrid w:val="0"/>
                <w:color w:val="000000"/>
                <w:spacing w:val="0"/>
                <w:kern w:val="0"/>
                <w:sz w:val="18"/>
                <w:szCs w:val="18"/>
              </w:rPr>
              <w:t>经书面申请，由对被征收房屋价值进行评估的同一评估机构进行装饰装修评估，按照评估价格进行补偿，不再执行上述补偿标准。</w:t>
            </w:r>
          </w:p>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3.构筑物、附属物由同一评估机构进行评估，按照评估价格补偿。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jc w:val="center"/>
        </w:trPr>
        <w:tc>
          <w:tcPr>
            <w:tcW w:w="709" w:type="dxa"/>
            <w:vMerge w:val="continue"/>
            <w:tcBorders>
              <w:left w:val="single" w:color="auto" w:sz="4" w:space="0"/>
              <w:right w:val="single" w:color="auto" w:sz="4" w:space="0"/>
            </w:tcBorders>
            <w:vAlign w:val="center"/>
          </w:tcPr>
          <w:p>
            <w:pPr>
              <w:widowControl w:val="0"/>
              <w:spacing w:line="560" w:lineRule="exact"/>
              <w:ind w:left="0" w:firstLine="720"/>
              <w:jc w:val="both"/>
              <w:rPr>
                <w:rFonts w:hint="eastAsia" w:ascii="宋体" w:hAnsi="宋体" w:eastAsia="宋体" w:cs="宋体"/>
                <w:snapToGrid w:val="0"/>
                <w:spacing w:val="0"/>
                <w:kern w:val="0"/>
                <w:sz w:val="18"/>
                <w:szCs w:val="18"/>
                <w:lang w:val="en-US" w:eastAsia="zh-CN" w:bidi="ar-SA"/>
              </w:rPr>
            </w:pPr>
          </w:p>
        </w:tc>
        <w:tc>
          <w:tcPr>
            <w:tcW w:w="425" w:type="dxa"/>
            <w:vMerge w:val="continue"/>
            <w:tcBorders>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p>
        </w:tc>
        <w:tc>
          <w:tcPr>
            <w:tcW w:w="1060" w:type="dxa"/>
            <w:gridSpan w:val="2"/>
            <w:vMerge w:val="continue"/>
            <w:tcBorders>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p>
        </w:tc>
        <w:tc>
          <w:tcPr>
            <w:tcW w:w="1350" w:type="dxa"/>
            <w:gridSpan w:val="3"/>
            <w:tcBorders>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非住宅</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商业、办公、业务用房300元/平方米；生产用房100元/平方米</w:t>
            </w:r>
          </w:p>
        </w:tc>
        <w:tc>
          <w:tcPr>
            <w:tcW w:w="8363" w:type="dxa"/>
            <w:gridSpan w:val="2"/>
            <w:vMerge w:val="continue"/>
            <w:tcBorders>
              <w:left w:val="single" w:color="auto" w:sz="4" w:space="0"/>
              <w:bottom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9"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b/>
                <w:snapToGrid w:val="0"/>
                <w:color w:val="000000"/>
                <w:spacing w:val="0"/>
                <w:kern w:val="0"/>
                <w:sz w:val="18"/>
                <w:szCs w:val="18"/>
              </w:rPr>
            </w:pPr>
            <w:r>
              <w:rPr>
                <w:rFonts w:hint="eastAsia" w:ascii="宋体" w:hAnsi="宋体" w:eastAsia="宋体" w:cs="宋体"/>
                <w:b/>
                <w:snapToGrid w:val="0"/>
                <w:color w:val="000000"/>
                <w:spacing w:val="0"/>
                <w:kern w:val="0"/>
                <w:sz w:val="18"/>
                <w:szCs w:val="18"/>
              </w:rPr>
              <w:t>损失补偿</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3</w:t>
            </w:r>
          </w:p>
        </w:tc>
        <w:tc>
          <w:tcPr>
            <w:tcW w:w="10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附属设施</w:t>
            </w:r>
          </w:p>
        </w:tc>
        <w:tc>
          <w:tcPr>
            <w:tcW w:w="135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spacing w:val="0"/>
                <w:kern w:val="0"/>
                <w:sz w:val="18"/>
                <w:szCs w:val="18"/>
              </w:rPr>
            </w:pPr>
            <w:r>
              <w:rPr>
                <w:rFonts w:hint="eastAsia" w:ascii="宋体" w:hAnsi="宋体" w:eastAsia="宋体" w:cs="宋体"/>
                <w:snapToGrid w:val="0"/>
                <w:color w:val="000000"/>
                <w:spacing w:val="0"/>
                <w:kern w:val="0"/>
                <w:sz w:val="18"/>
                <w:szCs w:val="18"/>
              </w:rPr>
              <w:t>水表</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u w:val="none"/>
              </w:rPr>
              <w:t>600元/户</w:t>
            </w:r>
          </w:p>
        </w:tc>
        <w:tc>
          <w:tcPr>
            <w:tcW w:w="836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1.如有行业收费标准的，从其标准执行。</w:t>
            </w:r>
          </w:p>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2.选择货币补偿的，按本标准给予补偿；选择房屋产权调换的，不给予补偿，由征收人恢复安装，不另行收费。</w:t>
            </w:r>
          </w:p>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3.本条所指的“户”以缴费户为单位。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9" w:type="dxa"/>
            <w:vMerge w:val="continue"/>
            <w:tcBorders>
              <w:left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135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电表</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u w:val="none"/>
              </w:rPr>
              <w:t>600元/户</w:t>
            </w:r>
          </w:p>
        </w:tc>
        <w:tc>
          <w:tcPr>
            <w:tcW w:w="836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9" w:type="dxa"/>
            <w:vMerge w:val="continue"/>
            <w:tcBorders>
              <w:left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135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spacing w:val="0"/>
                <w:kern w:val="0"/>
                <w:sz w:val="18"/>
                <w:szCs w:val="18"/>
              </w:rPr>
            </w:pPr>
            <w:r>
              <w:rPr>
                <w:rFonts w:hint="eastAsia" w:ascii="宋体" w:hAnsi="宋体" w:eastAsia="宋体" w:cs="宋体"/>
                <w:snapToGrid w:val="0"/>
                <w:color w:val="000000"/>
                <w:spacing w:val="0"/>
                <w:kern w:val="0"/>
                <w:sz w:val="18"/>
                <w:szCs w:val="18"/>
              </w:rPr>
              <w:t>天然气</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u w:val="none"/>
              </w:rPr>
              <w:t>3500元/户</w:t>
            </w:r>
          </w:p>
        </w:tc>
        <w:tc>
          <w:tcPr>
            <w:tcW w:w="836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09" w:type="dxa"/>
            <w:vMerge w:val="continue"/>
            <w:tcBorders>
              <w:left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135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spacing w:val="0"/>
                <w:kern w:val="0"/>
                <w:sz w:val="18"/>
                <w:szCs w:val="18"/>
              </w:rPr>
            </w:pPr>
            <w:r>
              <w:rPr>
                <w:rFonts w:hint="eastAsia" w:ascii="宋体" w:hAnsi="宋体" w:eastAsia="宋体" w:cs="宋体"/>
                <w:snapToGrid w:val="0"/>
                <w:color w:val="000000"/>
                <w:spacing w:val="0"/>
                <w:kern w:val="0"/>
                <w:sz w:val="18"/>
                <w:szCs w:val="18"/>
              </w:rPr>
              <w:t>闭路</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u w:val="none"/>
              </w:rPr>
              <w:t>450元/户</w:t>
            </w:r>
          </w:p>
        </w:tc>
        <w:tc>
          <w:tcPr>
            <w:tcW w:w="836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09" w:type="dxa"/>
            <w:vMerge w:val="continue"/>
            <w:tcBorders>
              <w:left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135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spacing w:val="0"/>
                <w:kern w:val="0"/>
                <w:sz w:val="18"/>
                <w:szCs w:val="18"/>
              </w:rPr>
            </w:pPr>
            <w:r>
              <w:rPr>
                <w:rFonts w:hint="eastAsia" w:ascii="宋体" w:hAnsi="宋体" w:eastAsia="宋体" w:cs="宋体"/>
                <w:snapToGrid w:val="0"/>
                <w:color w:val="000000"/>
                <w:spacing w:val="0"/>
                <w:kern w:val="0"/>
                <w:sz w:val="18"/>
                <w:szCs w:val="18"/>
              </w:rPr>
              <w:t>宽带</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u w:val="none"/>
              </w:rPr>
              <w:t>300元/户</w:t>
            </w:r>
          </w:p>
        </w:tc>
        <w:tc>
          <w:tcPr>
            <w:tcW w:w="836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09" w:type="dxa"/>
            <w:vMerge w:val="continue"/>
            <w:tcBorders>
              <w:left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12280"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非民用及其他附属设施补偿标准由对被征收房屋价值进行评估的同一评估机构评估确定。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709"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4</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市场主体的设施设备</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left"/>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 xml:space="preserve">    不丧失价值的，按折旧后净值的10%以上20%以下给予补偿。丧失价值的，按评估价值补偿。</w:t>
            </w:r>
          </w:p>
        </w:tc>
        <w:tc>
          <w:tcPr>
            <w:tcW w:w="836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420"/>
              <w:jc w:val="left"/>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1.除区房屋征收部门有专门要求外，补偿后的设施设备应</w:t>
            </w:r>
            <w:r>
              <w:rPr>
                <w:rFonts w:hint="eastAsia" w:ascii="宋体" w:hAnsi="宋体" w:eastAsia="宋体" w:cs="宋体"/>
                <w:snapToGrid w:val="0"/>
                <w:color w:val="000000"/>
                <w:spacing w:val="0"/>
                <w:kern w:val="0"/>
                <w:sz w:val="18"/>
                <w:szCs w:val="18"/>
              </w:rPr>
              <w:softHyphen/>
            </w:r>
            <w:r>
              <w:rPr>
                <w:rFonts w:hint="eastAsia" w:ascii="宋体" w:hAnsi="宋体" w:eastAsia="宋体" w:cs="宋体"/>
                <w:snapToGrid w:val="0"/>
                <w:color w:val="000000"/>
                <w:spacing w:val="0"/>
                <w:kern w:val="0"/>
                <w:sz w:val="18"/>
                <w:szCs w:val="18"/>
              </w:rPr>
              <w:softHyphen/>
            </w:r>
            <w:r>
              <w:rPr>
                <w:rFonts w:hint="eastAsia" w:ascii="宋体" w:hAnsi="宋体" w:eastAsia="宋体" w:cs="宋体"/>
                <w:snapToGrid w:val="0"/>
                <w:color w:val="000000"/>
                <w:spacing w:val="0"/>
                <w:kern w:val="0"/>
                <w:sz w:val="18"/>
                <w:szCs w:val="18"/>
              </w:rPr>
              <w:softHyphen/>
            </w:r>
            <w:r>
              <w:rPr>
                <w:rFonts w:hint="eastAsia" w:ascii="宋体" w:hAnsi="宋体" w:eastAsia="宋体" w:cs="宋体"/>
                <w:snapToGrid w:val="0"/>
                <w:color w:val="000000"/>
                <w:spacing w:val="0"/>
                <w:kern w:val="0"/>
                <w:sz w:val="18"/>
                <w:szCs w:val="18"/>
              </w:rPr>
              <w:t>由被征收人自行拆除、搬离。</w:t>
            </w:r>
          </w:p>
          <w:p>
            <w:pPr>
              <w:widowControl w:val="0"/>
              <w:spacing w:line="300" w:lineRule="exact"/>
              <w:ind w:firstLine="420"/>
              <w:jc w:val="left"/>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2.对设施设备进行评估的，企业等市场主体应当提供设施设备购置及其品牌、编号等相关凭据。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09" w:type="dxa"/>
            <w:vMerge w:val="restart"/>
            <w:tcBorders>
              <w:top w:val="single" w:color="auto" w:sz="4" w:space="0"/>
              <w:left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b/>
                <w:snapToGrid w:val="0"/>
                <w:color w:val="000000"/>
                <w:spacing w:val="0"/>
                <w:kern w:val="0"/>
                <w:sz w:val="18"/>
                <w:szCs w:val="18"/>
              </w:rPr>
            </w:pPr>
            <w:r>
              <w:rPr>
                <w:rFonts w:hint="eastAsia" w:ascii="宋体" w:hAnsi="宋体" w:eastAsia="宋体" w:cs="宋体"/>
                <w:b/>
                <w:snapToGrid w:val="0"/>
                <w:color w:val="000000"/>
                <w:spacing w:val="0"/>
                <w:kern w:val="0"/>
                <w:sz w:val="18"/>
                <w:szCs w:val="18"/>
              </w:rPr>
              <w:t>奖励补助</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5</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补偿方式选择的引导奖励</w:t>
            </w:r>
          </w:p>
        </w:tc>
        <w:tc>
          <w:tcPr>
            <w:tcW w:w="95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货币补偿补助</w:t>
            </w: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tabs>
                <w:tab w:val="left" w:pos="936"/>
              </w:tabs>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u w:val="none"/>
              </w:rPr>
              <w:t>住宅</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tabs>
                <w:tab w:val="left" w:pos="936"/>
              </w:tabs>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每户按被征收房屋评估价值的 12%，另再给予5平方米的被征收房屋评估价值奖励。</w:t>
            </w:r>
          </w:p>
        </w:tc>
        <w:tc>
          <w:tcPr>
            <w:tcW w:w="836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同一产权房屋中既有住宅又有非住宅的，分别计算奖励。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709" w:type="dxa"/>
            <w:vMerge w:val="continue"/>
            <w:tcBorders>
              <w:left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959"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非住宅</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每户按被征收房屋评估价值的5%计算。</w:t>
            </w:r>
          </w:p>
        </w:tc>
        <w:tc>
          <w:tcPr>
            <w:tcW w:w="836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709" w:type="dxa"/>
            <w:vMerge w:val="continue"/>
            <w:tcBorders>
              <w:left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959"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产权调换补助</w:t>
            </w: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tabs>
                <w:tab w:val="left" w:pos="936"/>
              </w:tabs>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住宅</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tabs>
                <w:tab w:val="left" w:pos="936"/>
              </w:tabs>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每户给予3平方米的被征收房屋评估价值奖励。</w:t>
            </w:r>
          </w:p>
        </w:tc>
        <w:tc>
          <w:tcPr>
            <w:tcW w:w="836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427" w:firstLineChars="15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被征收人在规定的签约期限内签约并在协议约定的期限内完成搬迁。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709" w:type="dxa"/>
            <w:vMerge w:val="continue"/>
            <w:tcBorders>
              <w:left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6</w:t>
            </w:r>
          </w:p>
        </w:tc>
        <w:tc>
          <w:tcPr>
            <w:tcW w:w="1668"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单户提前签约奖励</w:t>
            </w: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spacing w:val="0"/>
                <w:kern w:val="0"/>
                <w:sz w:val="18"/>
                <w:szCs w:val="18"/>
              </w:rPr>
            </w:pPr>
            <w:r>
              <w:rPr>
                <w:rFonts w:hint="eastAsia" w:ascii="宋体" w:hAnsi="宋体" w:eastAsia="宋体" w:cs="宋体"/>
                <w:snapToGrid w:val="0"/>
                <w:color w:val="000000"/>
                <w:spacing w:val="0"/>
                <w:kern w:val="0"/>
                <w:sz w:val="18"/>
                <w:szCs w:val="18"/>
                <w:u w:val="none"/>
              </w:rPr>
              <w:t>住宅</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u w:val="none"/>
              </w:rPr>
              <w:t>500元/户·日</w:t>
            </w:r>
          </w:p>
        </w:tc>
        <w:tc>
          <w:tcPr>
            <w:tcW w:w="836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spacing w:val="0"/>
                <w:kern w:val="0"/>
                <w:sz w:val="18"/>
                <w:szCs w:val="18"/>
              </w:rPr>
              <w:t>1.提前天数自签约之日起计算，截止签约期限届满之日，</w:t>
            </w:r>
            <w:r>
              <w:rPr>
                <w:rFonts w:hint="eastAsia" w:ascii="宋体" w:hAnsi="宋体" w:eastAsia="宋体" w:cs="宋体"/>
                <w:snapToGrid w:val="0"/>
                <w:color w:val="000000"/>
                <w:spacing w:val="0"/>
                <w:kern w:val="0"/>
                <w:sz w:val="18"/>
                <w:szCs w:val="18"/>
              </w:rPr>
              <w:t>最高不超过规定的签约期限。</w:t>
            </w:r>
          </w:p>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spacing w:val="0"/>
                <w:kern w:val="0"/>
                <w:sz w:val="18"/>
                <w:szCs w:val="18"/>
              </w:rPr>
              <w:t>2.同一产权房屋中既有住宅又有非住宅的，单户提前签约奖励分别计算。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709" w:type="dxa"/>
            <w:vMerge w:val="continue"/>
            <w:tcBorders>
              <w:left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1668"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74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spacing w:val="0"/>
                <w:kern w:val="0"/>
                <w:sz w:val="18"/>
                <w:szCs w:val="18"/>
              </w:rPr>
            </w:pPr>
            <w:r>
              <w:rPr>
                <w:rFonts w:hint="eastAsia" w:ascii="宋体" w:hAnsi="宋体" w:eastAsia="宋体" w:cs="宋体"/>
                <w:snapToGrid w:val="0"/>
                <w:color w:val="000000"/>
                <w:spacing w:val="0"/>
                <w:kern w:val="0"/>
                <w:sz w:val="18"/>
                <w:szCs w:val="18"/>
                <w:u w:val="none"/>
              </w:rPr>
              <w:t>非住宅</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u w:val="none"/>
              </w:rPr>
              <w:t>20元/平方米·日</w:t>
            </w:r>
          </w:p>
        </w:tc>
        <w:tc>
          <w:tcPr>
            <w:tcW w:w="836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709" w:type="dxa"/>
            <w:vMerge w:val="continue"/>
            <w:tcBorders>
              <w:left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7</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spacing w:val="0"/>
                <w:kern w:val="0"/>
                <w:sz w:val="18"/>
                <w:szCs w:val="18"/>
              </w:rPr>
            </w:pPr>
            <w:r>
              <w:rPr>
                <w:rFonts w:hint="eastAsia" w:ascii="宋体" w:hAnsi="宋体" w:eastAsia="宋体" w:cs="宋体"/>
                <w:snapToGrid w:val="0"/>
                <w:color w:val="000000"/>
                <w:spacing w:val="0"/>
                <w:kern w:val="0"/>
                <w:sz w:val="18"/>
                <w:szCs w:val="18"/>
              </w:rPr>
              <w:t>单户按期搬迁奖励</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spacing w:val="0"/>
                <w:kern w:val="0"/>
                <w:sz w:val="18"/>
                <w:szCs w:val="18"/>
              </w:rPr>
            </w:pPr>
            <w:r>
              <w:rPr>
                <w:rFonts w:hint="eastAsia" w:ascii="宋体" w:hAnsi="宋体" w:eastAsia="宋体" w:cs="宋体"/>
                <w:snapToGrid w:val="0"/>
                <w:color w:val="000000"/>
                <w:spacing w:val="0"/>
                <w:kern w:val="0"/>
                <w:sz w:val="18"/>
                <w:szCs w:val="18"/>
                <w:u w:val="none"/>
              </w:rPr>
              <w:t>30000元/户</w:t>
            </w:r>
          </w:p>
        </w:tc>
        <w:tc>
          <w:tcPr>
            <w:tcW w:w="836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left"/>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u w:val="none"/>
              </w:rPr>
              <w:t xml:space="preserve">    给予</w:t>
            </w:r>
            <w:r>
              <w:rPr>
                <w:rFonts w:hint="eastAsia" w:ascii="宋体" w:hAnsi="宋体" w:eastAsia="宋体" w:cs="宋体"/>
                <w:snapToGrid w:val="0"/>
                <w:color w:val="000000"/>
                <w:spacing w:val="0"/>
                <w:kern w:val="0"/>
                <w:sz w:val="18"/>
                <w:szCs w:val="18"/>
              </w:rPr>
              <w:t>在规定的签约期限内签约并在协议约定的期限内完成搬迁，或者在规定的签约期限内主动搬迁的</w:t>
            </w:r>
            <w:r>
              <w:rPr>
                <w:rFonts w:hint="eastAsia" w:ascii="宋体" w:hAnsi="宋体" w:eastAsia="宋体" w:cs="宋体"/>
                <w:snapToGrid w:val="0"/>
                <w:color w:val="000000"/>
                <w:spacing w:val="0"/>
                <w:kern w:val="0"/>
                <w:sz w:val="18"/>
                <w:szCs w:val="18"/>
                <w:u w:val="none"/>
              </w:rPr>
              <w:t>被征收人的单户按期搬迁奖励。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709" w:type="dxa"/>
            <w:vMerge w:val="continue"/>
            <w:tcBorders>
              <w:left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8</w:t>
            </w:r>
          </w:p>
        </w:tc>
        <w:tc>
          <w:tcPr>
            <w:tcW w:w="153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搬迁补助</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住宅</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2000元/户·次</w:t>
            </w:r>
          </w:p>
        </w:tc>
        <w:tc>
          <w:tcPr>
            <w:tcW w:w="3760" w:type="dxa"/>
            <w:vMerge w:val="restart"/>
            <w:tcBorders>
              <w:top w:val="single" w:color="auto" w:sz="4" w:space="0"/>
              <w:left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被征收人选择货币补偿方式的，仅享受1次搬迁补助；选择产权调换补偿方式的，享受2次搬迁补助。</w:t>
            </w:r>
          </w:p>
        </w:tc>
        <w:tc>
          <w:tcPr>
            <w:tcW w:w="4603" w:type="dxa"/>
            <w:vMerge w:val="restart"/>
            <w:tcBorders>
              <w:top w:val="single" w:color="auto" w:sz="4" w:space="0"/>
              <w:left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同一产权房屋中既有住宅又有非住宅的，搬迁补助分别计算。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jc w:val="center"/>
        </w:trPr>
        <w:tc>
          <w:tcPr>
            <w:tcW w:w="709"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1535"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snapToGrid w:val="0"/>
                <w:color w:val="000000"/>
                <w:spacing w:val="0"/>
                <w:kern w:val="0"/>
                <w:sz w:val="18"/>
                <w:szCs w:val="18"/>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非住宅</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42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商业、办公、业务用房</w:t>
            </w:r>
            <w:r>
              <w:rPr>
                <w:rFonts w:hint="eastAsia" w:ascii="宋体" w:hAnsi="宋体" w:eastAsia="宋体" w:cs="宋体"/>
                <w:snapToGrid w:val="0"/>
                <w:color w:val="000000"/>
                <w:spacing w:val="0"/>
                <w:kern w:val="0"/>
                <w:sz w:val="18"/>
                <w:szCs w:val="18"/>
                <w:u w:val="none"/>
              </w:rPr>
              <w:t>每次按</w:t>
            </w:r>
            <w:r>
              <w:rPr>
                <w:rFonts w:hint="eastAsia" w:ascii="宋体" w:hAnsi="宋体" w:eastAsia="宋体" w:cs="宋体"/>
                <w:snapToGrid w:val="0"/>
                <w:color w:val="000000"/>
                <w:spacing w:val="0"/>
                <w:kern w:val="0"/>
                <w:sz w:val="18"/>
                <w:szCs w:val="18"/>
              </w:rPr>
              <w:t>30元/平方米·次，生产用房</w:t>
            </w:r>
            <w:r>
              <w:rPr>
                <w:rFonts w:hint="eastAsia" w:ascii="宋体" w:hAnsi="宋体" w:eastAsia="宋体" w:cs="宋体"/>
                <w:snapToGrid w:val="0"/>
                <w:color w:val="000000"/>
                <w:spacing w:val="0"/>
                <w:kern w:val="0"/>
                <w:sz w:val="18"/>
                <w:szCs w:val="18"/>
                <w:u w:val="none"/>
              </w:rPr>
              <w:t>按</w:t>
            </w:r>
            <w:r>
              <w:rPr>
                <w:rFonts w:hint="eastAsia" w:ascii="宋体" w:hAnsi="宋体" w:eastAsia="宋体" w:cs="宋体"/>
                <w:snapToGrid w:val="0"/>
                <w:color w:val="000000"/>
                <w:spacing w:val="0"/>
                <w:kern w:val="0"/>
                <w:sz w:val="18"/>
                <w:szCs w:val="18"/>
              </w:rPr>
              <w:t>40元/平方米·次。</w:t>
            </w:r>
          </w:p>
        </w:tc>
        <w:tc>
          <w:tcPr>
            <w:tcW w:w="3760" w:type="dxa"/>
            <w:vMerge w:val="continue"/>
            <w:tcBorders>
              <w:left w:val="single" w:color="auto" w:sz="4" w:space="0"/>
              <w:bottom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p>
        </w:tc>
        <w:tc>
          <w:tcPr>
            <w:tcW w:w="4603" w:type="dxa"/>
            <w:vMerge w:val="continue"/>
            <w:tcBorders>
              <w:left w:val="single" w:color="auto" w:sz="4" w:space="0"/>
              <w:bottom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eastAsia="宋体" w:cs="宋体"/>
                <w:b/>
                <w:snapToGrid w:val="0"/>
                <w:color w:val="000000"/>
                <w:spacing w:val="0"/>
                <w:kern w:val="0"/>
                <w:sz w:val="18"/>
                <w:szCs w:val="18"/>
              </w:rPr>
            </w:pPr>
            <w:r>
              <w:rPr>
                <w:rFonts w:hint="eastAsia" w:ascii="宋体" w:hAnsi="宋体" w:eastAsia="宋体" w:cs="宋体"/>
                <w:b/>
                <w:snapToGrid w:val="0"/>
                <w:color w:val="000000"/>
                <w:spacing w:val="0"/>
                <w:kern w:val="0"/>
                <w:sz w:val="18"/>
                <w:szCs w:val="18"/>
              </w:rPr>
              <w:t>奖励补助</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9</w:t>
            </w:r>
          </w:p>
        </w:tc>
        <w:tc>
          <w:tcPr>
            <w:tcW w:w="1535"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临时安置补助</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住宅</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both"/>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1.被征收房屋面积30平方米以下的，按照30元/平方米·月发放；</w:t>
            </w:r>
          </w:p>
          <w:p>
            <w:pPr>
              <w:widowControl w:val="0"/>
              <w:spacing w:line="300" w:lineRule="exact"/>
              <w:ind w:firstLine="0" w:firstLineChars="0"/>
              <w:jc w:val="both"/>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2.被征收房屋面积30平方米以上45平方米以下的，按900元/月标准发放；</w:t>
            </w:r>
          </w:p>
          <w:p>
            <w:pPr>
              <w:widowControl w:val="0"/>
              <w:spacing w:line="300" w:lineRule="exact"/>
              <w:ind w:firstLine="0" w:firstLineChars="0"/>
              <w:jc w:val="both"/>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3.被征收房屋面积超过45平方米的，超出部分按照每户11-15元/平方米·月的标准发放（超出部分的具体标准按征收区域而定，在征收补偿方案中体现）</w:t>
            </w:r>
          </w:p>
        </w:tc>
        <w:tc>
          <w:tcPr>
            <w:tcW w:w="836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1.被征收房屋为住宅，被征收人选择产权调换补偿方式，且征收人未提供临时周转房屋的，按户给予临时安置补助。</w:t>
            </w:r>
          </w:p>
          <w:p>
            <w:pPr>
              <w:widowControl w:val="0"/>
              <w:spacing w:line="300" w:lineRule="exact"/>
              <w:ind w:firstLine="427" w:firstLineChars="15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2.产权调换房屋为现房的，发放3个月临时安置补助。产权调换房屋为期房的，临时安置补助自征收协议签订并交旧房之月起计算，至通知接房之次月起3个月止。</w:t>
            </w:r>
          </w:p>
          <w:p>
            <w:pPr>
              <w:widowControl w:val="0"/>
              <w:spacing w:line="300" w:lineRule="exact"/>
              <w:ind w:firstLine="420"/>
              <w:rPr>
                <w:rFonts w:hint="eastAsia" w:ascii="宋体" w:hAnsi="宋体" w:eastAsia="宋体" w:cs="宋体"/>
                <w:snapToGrid w:val="0"/>
                <w:color w:val="000000"/>
                <w:spacing w:val="0"/>
                <w:kern w:val="0"/>
                <w:sz w:val="18"/>
                <w:szCs w:val="18"/>
              </w:rPr>
            </w:pPr>
            <w:r>
              <w:rPr>
                <w:rFonts w:hint="eastAsia" w:ascii="宋体" w:hAnsi="宋体" w:eastAsia="宋体" w:cs="宋体"/>
                <w:snapToGrid w:val="0"/>
                <w:color w:val="000000"/>
                <w:spacing w:val="0"/>
                <w:kern w:val="0"/>
                <w:sz w:val="18"/>
                <w:szCs w:val="18"/>
              </w:rPr>
              <w:t>3.经认定参照有证房屋处置的未经登记建筑的临时安置补助参照以上标准执行；被征收人既有有证建筑又有认定为参照有证房屋处置的未经登记建筑，合并计算面积后，按一户计算临时安置补助。</w:t>
            </w:r>
          </w:p>
        </w:tc>
      </w:tr>
    </w:tbl>
    <w:p>
      <w:pPr>
        <w:rPr>
          <w:rFonts w:hint="eastAsia"/>
          <w:lang w:eastAsia="zh-CN"/>
        </w:rPr>
      </w:pPr>
      <w:r>
        <w:rPr>
          <w:rFonts w:hint="eastAsia" w:ascii="Calibri" w:hAnsi="Calibri"/>
          <w:snapToGrid w:val="0"/>
          <w:color w:val="000000"/>
          <w:spacing w:val="0"/>
          <w:kern w:val="0"/>
          <w:szCs w:val="32"/>
        </w:rPr>
        <w:t>备注：除有特别说明外，本标准中的户系指被征收房屋的产权户和经认定公示的公房承租户；以上和以下均包含本数；被征收房屋面积系由房屋产权证载建筑面积和按规定享受最低住房保障政策补足部分面积组成；被征收房屋评估价值系指被征收房屋产权证载建筑面积和按规定享受最低住房保障政策补足部分面积所对应的评估价值</w:t>
      </w:r>
      <w:r>
        <w:rPr>
          <w:rFonts w:hint="eastAsia"/>
          <w:snapToGrid w:val="0"/>
          <w:color w:val="000000"/>
          <w:spacing w:val="0"/>
          <w:kern w:val="0"/>
          <w:szCs w:val="32"/>
          <w:lang w:eastAsia="zh-CN"/>
        </w:rPr>
        <w:t>。</w:t>
      </w:r>
    </w:p>
    <w:sectPr>
      <w:headerReference r:id="rId13" w:type="default"/>
      <w:footerReference r:id="rId14" w:type="default"/>
      <w:footerReference r:id="rId15" w:type="even"/>
      <w:pgSz w:w="16838" w:h="11906" w:orient="landscape"/>
      <w:pgMar w:top="1531" w:right="2098" w:bottom="1531" w:left="1984" w:header="851" w:footer="1361" w:gutter="0"/>
      <w:pgNumType w:fmt="numberInDash"/>
      <w:cols w:space="720" w:num="1"/>
      <w:rtlGutter w:val="0"/>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10"/>
      <w:wordWrap w:val="0"/>
      <w:ind w:left="3786" w:leftChars="1803" w:firstLine="7398" w:firstLineChars="2312"/>
      <w:jc w:val="right"/>
      <w:rPr>
        <w:rFonts w:hint="default" w:ascii="Calibri" w:hAnsi="Calibri" w:eastAsia="宋体" w:cs="Times New Roman"/>
        <w:kern w:val="2"/>
        <w:sz w:val="18"/>
        <w:szCs w:val="24"/>
        <w:lang w:val="en-US" w:eastAsia="zh-CN" w:bidi="ar-SA"/>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7052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DDtj87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r>
      <w:rPr>
        <w:sz w:val="18"/>
      </w:rPr>
      <mc:AlternateContent>
        <mc:Choice Requires="wps">
          <w:drawing>
            <wp:anchor distT="0" distB="0" distL="114300" distR="114300" simplePos="0" relativeHeight="251669504" behindDoc="0" locked="0" layoutInCell="1" allowOverlap="1">
              <wp:simplePos x="0" y="0"/>
              <wp:positionH relativeFrom="margin">
                <wp:posOffset>5500370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33.1pt;margin-top:0pt;height:144pt;width:144pt;mso-position-horizontal-relative:margin;mso-wrap-style:none;z-index:251669504;mso-width-relative:page;mso-height-relative:page;" filled="f" stroked="f" coordsize="21600,21600" o:gfxdata="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jDyDNQAAAAJ&#10;AQAADwAAAAAAAAABACAAAAAiAAAAZHJzL2Rvd25yZXYueG1sUEsBAhQAFAAAAAgAh07iQDH8OTuu&#10;AQAASwMAAA4AAAAAAAAAAQAgAAAAIwEAAGRycy9lMm9Eb2MueG1sUEsFBgAAAAAGAAYAWQEAAEMF&#10;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posOffset>5172075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07.25pt;margin-top:0pt;height:144pt;width:144pt;mso-position-horizontal-relative:margin;mso-wrap-style:none;z-index:251668480;mso-width-relative:page;mso-height-relative:page;" filled="f" stroked="f" coordsize="21600,21600" o:gfxdata="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0fxutQAAAAJ&#10;AQAADwAAAAAAAAABACAAAAAiAAAAZHJzL2Rvd25yZXYueG1sUEsBAhQAFAAAAAgAh07iQCFX4GOu&#10;AQAASwMAAA4AAAAAAAAAAQAgAAAAIwEAAGRycy9lMm9Eb2MueG1sUEsFBgAAAAAGAAYAWQEAAEMF&#10;AAAAAA==&#10;">
              <v:fill on="f" focussize="0,0"/>
              <v:stroke on="f"/>
              <v:imagedata o:title=""/>
              <o:lock v:ext="edit" aspectratio="f"/>
              <v:textbox inset="0mm,0mm,0mm,0mm" style="mso-fit-shape-to-text:t;">
                <w:txbxContent>
                  <w:p>
                    <w:pPr>
                      <w:pStyle w:val="8"/>
                      <w:rPr>
                        <w:rFonts w:hint="eastAsia" w:eastAsia="宋体"/>
                        <w:lang w:eastAsia="zh-CN"/>
                      </w:rPr>
                    </w:pPr>
                  </w:p>
                </w:txbxContent>
              </v:textbox>
            </v:shape>
          </w:pict>
        </mc:Fallback>
      </mc:AlternateContent>
    </w:r>
    <w:r>
      <w:rPr>
        <w:rFonts w:hint="default" w:ascii="宋体" w:hAnsi="宋体" w:eastAsia="宋体" w:cs="宋体"/>
        <w:b/>
        <w:bCs/>
        <w:color w:val="005192"/>
        <w:kern w:val="2"/>
        <w:sz w:val="28"/>
        <w:szCs w:val="44"/>
        <w:lang w:val="en-US" w:eastAsia="zh-CN" w:bidi="ar-SA"/>
      </w:rPr>
      <w:t xml:space="preserve">   </w:t>
    </w:r>
  </w:p>
  <w:p>
    <w:pPr>
      <w:pStyle w:val="8"/>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KvFq4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an2d1yFqSnGZ2+fjl9+3H6/pmRjxo0Rmwp7zFSZp5ewUTJsx/JWXRPJvnyJUWM&#10;4tTq47W9espMlUer5WrVUEhRbL4Qvnh6HhPm1xo8K0bHE82vtlUe3mI+p84ppVqAB+tcnaELvzkI&#10;s3hE4X7mWKw8baeLoC30R9Iz0ug7Hmg3OXNvAnW2bMlspNnYzsY+Jrsb6hqVehhf7jORqNxKhTPs&#10;pTDNrKq77FdZil/vNevpL9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q8WrgEAAE0D&#10;AAAOAAAAAAAAAAEAIAAAAB4BAABkcnMvZTJvRG9jLnhtbFBLBQYAAAAABgAGAFkBAAA+BQAAAAA=&#10;">
              <v:fill on="f" focussize="0,0"/>
              <v:stroke on="f"/>
              <v:imagedata o:title=""/>
              <o:lock v:ext="edit" aspectratio="f"/>
              <v:textbox inset="0mm,0mm,0mm,0mm" style="mso-fit-shape-to-text:t;">
                <w:txbxContent>
                  <w:p>
                    <w:pPr>
                      <w:pStyle w:val="8"/>
                      <w:ind w:firstLine="360"/>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BY560BAABN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3ZKzID3N6PTt6+n7z9OPL4x81KAxYUt5D4ky8/Q6TpQ8+5GcRfdkwJcvKWIU&#10;p1Yfr+3VU2aqPFotV6uGQopi84XwxePzBJjf6OhZMToONL/aVnl4h/mcOqeUaiHeW+fqDF34zUGY&#10;xSMK9zPHYuVpO10EbWN/JD0jjb7jgXaTM/c2UGfLlswGzMZ2NvYJ7G6oa1TqYXq1z0SicisVzrCX&#10;wjSzqu6yX2Upnt5r1uNfsP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J9AWOetAQAATQMA&#10;AA4AAAAAAAAAAQAgAAAAHgEAAGRycy9lMm9Eb2MueG1sUEsFBgAAAAAGAAYAWQEAAD0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10"/>
      <w:wordWrap w:val="0"/>
      <w:ind w:left="3786" w:leftChars="1803" w:firstLine="7398" w:firstLineChars="2312"/>
      <w:jc w:val="right"/>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643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p6XR1AAAAAYBAAAPAAAAAAAAAAEAIAAAACIAAABkcnMv&#10;ZG93bnJldi54bWxQSwECFAAUAAAACACHTuJAnVgPVs4BAABnAwAADgAAAAAAAAABACAAAAAjAQAA&#10;ZHJzL2Uyb0RvYy54bWxQSwUGAAAAAAYABgBZAQAAYw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r>
      <w:rPr>
        <w:sz w:val="18"/>
      </w:rPr>
      <mc:AlternateContent>
        <mc:Choice Requires="wps">
          <w:drawing>
            <wp:anchor distT="0" distB="0" distL="114300" distR="114300" simplePos="0" relativeHeight="251665408" behindDoc="0" locked="0" layoutInCell="1" allowOverlap="1">
              <wp:simplePos x="0" y="0"/>
              <wp:positionH relativeFrom="margin">
                <wp:posOffset>5500370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33.1pt;margin-top:0pt;height:144pt;width:144pt;mso-position-horizontal-relative:margin;mso-wrap-style:none;z-index:251665408;mso-width-relative:page;mso-height-relative:page;" filled="f" stroked="f" coordsize="21600,21600" o:gfxdata="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Yw8gzUAAAACQEA&#10;AA8AAAAAAAAAAQAgAAAAIgAAAGRycy9kb3ducmV2LnhtbFBLAQIUABQAAAAIAIdO4kCOgaOfrAEA&#10;AE0DAAAOAAAAAAAAAAEAIAAAACMBAABkcnMvZTJvRG9jLnhtbFBLBQYAAAAABgAGAFkBAABBBQAA&#10;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p>
    <w:pPr>
      <w:widowControl w:val="0"/>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lang w:eastAsia="zh-CN"/>
                            </w:rPr>
                            <w:t>- 5 -</w:t>
                          </w:r>
                          <w:r>
                            <w:rPr>
                              <w:rFonts w:hint="eastAsia" w:ascii="宋体" w:hAnsi="宋体" w:eastAsia="宋体" w:cs="宋体"/>
                              <w:sz w:val="28"/>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OdNq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3I502rgEAAE0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lang w:eastAsia="zh-CN"/>
                      </w:rPr>
                      <w:t>- 5 -</w:t>
                    </w:r>
                    <w:r>
                      <w:rPr>
                        <w:rFonts w:hint="eastAsia" w:ascii="宋体" w:hAnsi="宋体" w:eastAsia="宋体" w:cs="宋体"/>
                        <w:sz w:val="28"/>
                        <w:szCs w:val="32"/>
                        <w:lang w:eastAsia="zh-CN"/>
                      </w:rPr>
                      <w:fldChar w:fldCharType="end"/>
                    </w:r>
                  </w:p>
                </w:txbxContent>
              </v:textbox>
            </v:shape>
          </w:pict>
        </mc:Fallback>
      </mc:AlternateContent>
    </w:r>
  </w:p>
  <w:p>
    <w:pPr>
      <w:widowControl w:val="0"/>
      <w:pBdr>
        <w:top w:val="none" w:color="auto" w:sz="0" w:space="1"/>
        <w:left w:val="none" w:color="auto" w:sz="0" w:space="4"/>
        <w:bottom w:val="none" w:color="auto" w:sz="0" w:space="1"/>
        <w:right w:val="none" w:color="auto" w:sz="0" w:space="4"/>
      </w:pBdr>
      <w:wordWrap w:val="0"/>
      <w:snapToGrid w:val="0"/>
      <w:spacing w:line="240" w:lineRule="auto"/>
      <w:jc w:val="right"/>
      <w:outlineLvl w:val="9"/>
      <w:rPr>
        <w:rFonts w:hint="default" w:ascii="Calibri" w:hAnsi="Calibri" w:eastAsia="宋体" w:cs="Times New Roman"/>
        <w:kern w:val="2"/>
        <w:sz w:val="18"/>
        <w:szCs w:val="24"/>
        <w:lang w:val="en-US" w:eastAsia="zh-CN" w:bidi="ar-SA"/>
      </w:rPr>
    </w:pPr>
    <w:r>
      <w:rPr>
        <w:rFonts w:hint="default" w:ascii="宋体" w:hAnsi="宋体" w:eastAsia="宋体" w:cs="宋体"/>
        <w:b/>
        <w:bCs/>
        <w:color w:val="005192"/>
        <w:kern w:val="2"/>
        <w:sz w:val="28"/>
        <w:szCs w:val="44"/>
        <w:lang w:val="en-US" w:eastAsia="zh-CN" w:bidi="ar-S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10"/>
      <w:wordWrap w:val="0"/>
      <w:ind w:left="3786" w:leftChars="1803" w:firstLine="7398" w:firstLineChars="2312"/>
      <w:jc w:val="right"/>
      <w:rPr>
        <w:rFonts w:hint="eastAsia"/>
        <w:color w:val="FAFAFA"/>
        <w:sz w:val="32"/>
        <w:lang w:val="en-US" w:eastAsia="zh-CN"/>
      </w:rPr>
    </w:pPr>
  </w:p>
  <w:p>
    <w:pPr>
      <w:pStyle w:val="10"/>
      <w:wordWrap w:val="0"/>
      <w:ind w:left="3786" w:leftChars="1803" w:firstLine="7398" w:firstLineChars="2312"/>
      <w:jc w:val="right"/>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8109585" cy="1651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8109585" cy="165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1.3pt;width:638.55pt;z-index:251662336;mso-width-relative:page;mso-height-relative:page;" filled="f" stroked="t" coordsize="21600,21600" o:gfxdata="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7gtu9QAAAAHAQAADwAAAAAAAAABACAAAAAiAAAAZHJz&#10;L2Rvd25yZXYueG1sUEsBAhQAFAAAAAgAh07iQDlgrCfPAQAAag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jZA3K4BAABN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z7nLEhPMzp9/XL69uP0/TMjHzVoTNhS3kOizDy9ihMNevYjOYvuyYAvX1LE&#10;KE6tPl7bq6fMVHm0Wq5WDYUUxeYL4YvH5wkwv9bRs2J0HGh+ta3y8BbzOXVOKdVCvLfO1Rm68JuD&#10;MItHFO5njsXK03a6CNrG/kh6Rhp9xwPtJmfuTaDOli2ZDZiN7WzsE9jdUNeo1MP0cp+JROVWKpxh&#10;L4VpZlXdZb/KUvx6r1mPf8H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NkDcrgEAAE0D&#10;AAAOAAAAAAAAAAEAIAAAAB4BAABkcnMvZTJvRG9jLnhtbFBLBQYAAAAABgAGAFkBAAA+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7pK8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bv+PKWsyA9zej09cvp24/T98+MfNSgMWJLeY+RMvP0CiYa9OxHchbdk0m+fEkR&#10;ozi1+nhtr54yU+XRarlaNRRSFJsvhC+enseE+bUGz4rR8UTzq22Vh7eYz6lzSqkW4ME6V2fowm8O&#10;wiweUbifORYrT9vpImgL/ZH0jDT6jgfaTc7cm0CdLVsyG2k2trOxj8nuhrpGpR7Gl/tMJCq3UuEM&#10;eylMM6vqLvtVluLXe816+gs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N/e7pK8BAABN&#10;AwAADgAAAAAAAAABACAAAAAeAQAAZHJzL2Uyb0RvYy54bWxQSwUGAAAAAAYABgBZAQAAPwUAAAAA&#10;">
              <v:fill on="f" focussize="0,0"/>
              <v:stroke on="f"/>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jc w:val="both"/>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5715" b="1460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NvklHRAAAACAEAAA8AAAAAAAAAAQAgAAAAIgAAAGRycy9k&#10;b3ducmV2LnhtbFBLAQIUABQAAAAIAIdO4kBI5WNp0AEAAGYDAAAOAAAAAAAAAAEAIAAAACABAABk&#10;cnMvZTJvRG9jLnhtbFBLBQYAAAAABgAGAFkBAABiBQAAAAA=&#10;">
              <v:fill on="f" focussize="0,0"/>
              <v:stroke weight="1.75pt" color="#005192" joinstyle="round"/>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8890" b="8890"/>
          <wp:docPr id="14"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重庆市巴南区人民政府行政</w:t>
    </w:r>
    <w:r>
      <w:rPr>
        <w:rFonts w:hint="eastAsia" w:ascii="宋体" w:hAnsi="宋体" w:eastAsia="宋体" w:cs="宋体"/>
        <w:b/>
        <w:bCs/>
        <w:color w:val="005192"/>
        <w:sz w:val="32"/>
        <w:szCs w:val="32"/>
        <w:lang w:val="en-US" w:eastAsia="zh-Hans"/>
      </w:rPr>
      <w:t>规范性文件</w:t>
    </w:r>
  </w:p>
  <w:p>
    <w:pPr>
      <w:pStyle w:val="10"/>
      <w:pBdr>
        <w:top w:val="none" w:color="auto" w:sz="0" w:space="0"/>
        <w:left w:val="none" w:color="auto" w:sz="0" w:space="0"/>
        <w:bottom w:val="none" w:color="auto" w:sz="0" w:space="1"/>
        <w:right w:val="none" w:color="auto" w:sz="0" w:space="0"/>
        <w:between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snapToGrid w:val="0"/>
      <w:spacing w:line="240" w:lineRule="auto"/>
      <w:jc w:val="both"/>
      <w:outlineLvl w:val="9"/>
      <w:rPr>
        <w:rFonts w:ascii="Calibri" w:hAnsi="Calibri" w:eastAsia="宋体" w:cs="Times New Roman"/>
        <w:kern w:val="2"/>
        <w:sz w:val="18"/>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val="0"/>
      <w:jc w:val="both"/>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NvklHRAAAACAEAAA8AAAAAAAAAAQAgAAAAIgAAAGRycy9k&#10;b3ducmV2LnhtbFBLAQIUABQAAAAIAIdO4kBIIKEi0AEAAGYDAAAOAAAAAAAAAAEAIAAAACABAABk&#10;cnMvZTJvRG9jLnhtbFBLBQYAAAAABgAGAFkBAABiBQAAAAA=&#10;">
              <v:fill on="f" focussize="0,0"/>
              <v:stroke weight="1.75pt" color="#005192" joinstyle="round"/>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3"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重庆市巴南区人民政府行政</w:t>
    </w:r>
    <w:r>
      <w:rPr>
        <w:rFonts w:hint="eastAsia" w:ascii="宋体" w:hAnsi="宋体" w:eastAsia="宋体" w:cs="宋体"/>
        <w:b/>
        <w:bCs/>
        <w:color w:val="005192"/>
        <w:sz w:val="32"/>
        <w:szCs w:val="32"/>
        <w:lang w:val="en-US" w:eastAsia="zh-Hans"/>
      </w:rPr>
      <w:t>规范性文件</w:t>
    </w:r>
  </w:p>
  <w:p>
    <w:pPr>
      <w:widowControl w:val="0"/>
      <w:pBdr>
        <w:top w:val="none" w:color="auto" w:sz="0" w:space="1"/>
        <w:left w:val="none" w:color="auto" w:sz="0" w:space="4"/>
        <w:bottom w:val="none" w:color="auto" w:sz="0" w:space="0"/>
        <w:right w:val="none" w:color="auto" w:sz="0" w:space="4"/>
      </w:pBdr>
      <w:snapToGrid w:val="0"/>
      <w:spacing w:line="240" w:lineRule="auto"/>
      <w:jc w:val="both"/>
      <w:outlineLvl w:val="9"/>
      <w:rPr>
        <w:rFonts w:ascii="Calibri" w:hAnsi="Calibri" w:eastAsia="宋体" w:cs="Times New Roman"/>
        <w:kern w:val="2"/>
        <w:sz w:val="18"/>
        <w:szCs w:val="24"/>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snapToGrid w:val="0"/>
      <w:spacing w:line="240" w:lineRule="auto"/>
      <w:jc w:val="both"/>
      <w:outlineLvl w:val="9"/>
      <w:rPr>
        <w:rFonts w:ascii="Calibri" w:hAnsi="Calibri" w:eastAsia="宋体" w:cs="Times New Roman"/>
        <w:kern w:val="2"/>
        <w:sz w:val="18"/>
        <w:szCs w:val="24"/>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jc w:val="both"/>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jc w:val="both"/>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18"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重庆市巴南区人民政府行政</w:t>
    </w:r>
    <w:r>
      <w:rPr>
        <w:rFonts w:hint="eastAsia" w:ascii="宋体" w:hAnsi="宋体" w:eastAsia="宋体" w:cs="宋体"/>
        <w:b/>
        <w:bCs/>
        <w:color w:val="005192"/>
        <w:sz w:val="32"/>
        <w:szCs w:val="32"/>
        <w:lang w:val="en-US" w:eastAsia="zh-Hans"/>
      </w:rPr>
      <w:t>规范性文件</w: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40005</wp:posOffset>
              </wp:positionV>
              <wp:extent cx="8081010" cy="31750"/>
              <wp:effectExtent l="0" t="10795" r="15240" b="14605"/>
              <wp:wrapNone/>
              <wp:docPr id="17" name="直接连接符 17"/>
              <wp:cNvGraphicFramePr/>
              <a:graphic xmlns:a="http://schemas.openxmlformats.org/drawingml/2006/main">
                <a:graphicData uri="http://schemas.microsoft.com/office/word/2010/wordprocessingShape">
                  <wps:wsp>
                    <wps:cNvCnPr/>
                    <wps:spPr>
                      <a:xfrm flipV="1">
                        <a:off x="4133850" y="864870"/>
                        <a:ext cx="8081010" cy="3175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0.9pt;margin-top:3.15pt;height:2.5pt;width:636.3pt;z-index:251667456;mso-width-relative:page;mso-height-relative:page;" filled="f" stroked="t" coordsize="21600,21600" o:gfxdata="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sEvaNYAAAAHAQAADwAAAAAA&#10;AAABACAAAAAiAAAAZHJzL2Rvd25yZXYueG1sUEsBAhQAFAAAAAgAh07iQGnGGoncAQAAdgMAAA4A&#10;AAAAAAAAAQAgAAAAJQEAAGRycy9lMm9Eb2MueG1sUEsFBgAAAAAGAAYAWQEAAHMFA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Dc5NDBhYjQyNjVmMDNiMGMwYWI0YzE5YjJiOWMifQ=="/>
  </w:docVars>
  <w:rsids>
    <w:rsidRoot w:val="00172A27"/>
    <w:rsid w:val="019E71BD"/>
    <w:rsid w:val="01E93D58"/>
    <w:rsid w:val="04B679C3"/>
    <w:rsid w:val="04D6145B"/>
    <w:rsid w:val="05F07036"/>
    <w:rsid w:val="06E00104"/>
    <w:rsid w:val="07DD0945"/>
    <w:rsid w:val="080F63D8"/>
    <w:rsid w:val="09341458"/>
    <w:rsid w:val="098254C2"/>
    <w:rsid w:val="0A766EDE"/>
    <w:rsid w:val="0AD64BE8"/>
    <w:rsid w:val="0B0912D7"/>
    <w:rsid w:val="0B650AAB"/>
    <w:rsid w:val="0E025194"/>
    <w:rsid w:val="0EEF0855"/>
    <w:rsid w:val="11DB7C71"/>
    <w:rsid w:val="14874FF8"/>
    <w:rsid w:val="152D2DCA"/>
    <w:rsid w:val="187168EA"/>
    <w:rsid w:val="196673CA"/>
    <w:rsid w:val="1CF734C9"/>
    <w:rsid w:val="1DEC284C"/>
    <w:rsid w:val="1E6523AC"/>
    <w:rsid w:val="22440422"/>
    <w:rsid w:val="22BB4BBB"/>
    <w:rsid w:val="24FC67A7"/>
    <w:rsid w:val="25EB1AF4"/>
    <w:rsid w:val="26AC02CA"/>
    <w:rsid w:val="2DD05FE1"/>
    <w:rsid w:val="2EAE3447"/>
    <w:rsid w:val="30442EBD"/>
    <w:rsid w:val="31A15F24"/>
    <w:rsid w:val="346A1193"/>
    <w:rsid w:val="36FB1DF0"/>
    <w:rsid w:val="395347B5"/>
    <w:rsid w:val="39A232A0"/>
    <w:rsid w:val="39E745AA"/>
    <w:rsid w:val="3B5A6BBB"/>
    <w:rsid w:val="3CA154E3"/>
    <w:rsid w:val="3EAD2DD1"/>
    <w:rsid w:val="3EDA13A6"/>
    <w:rsid w:val="3FF56C14"/>
    <w:rsid w:val="417B75E9"/>
    <w:rsid w:val="42430A63"/>
    <w:rsid w:val="42F058B7"/>
    <w:rsid w:val="436109F6"/>
    <w:rsid w:val="441A38D4"/>
    <w:rsid w:val="4504239D"/>
    <w:rsid w:val="47C368FE"/>
    <w:rsid w:val="4BC77339"/>
    <w:rsid w:val="4BED22AB"/>
    <w:rsid w:val="4C410D40"/>
    <w:rsid w:val="4C9236C5"/>
    <w:rsid w:val="4E250A85"/>
    <w:rsid w:val="4FFD4925"/>
    <w:rsid w:val="505C172E"/>
    <w:rsid w:val="506405EA"/>
    <w:rsid w:val="52F46F0B"/>
    <w:rsid w:val="532B6A10"/>
    <w:rsid w:val="539E4E99"/>
    <w:rsid w:val="53D8014D"/>
    <w:rsid w:val="53FE11EB"/>
    <w:rsid w:val="550C209A"/>
    <w:rsid w:val="55E064E0"/>
    <w:rsid w:val="572C6D10"/>
    <w:rsid w:val="5DC34279"/>
    <w:rsid w:val="5FCD688E"/>
    <w:rsid w:val="5FF9BDAA"/>
    <w:rsid w:val="608816D1"/>
    <w:rsid w:val="60EF4E7F"/>
    <w:rsid w:val="63C91E37"/>
    <w:rsid w:val="648B0A32"/>
    <w:rsid w:val="658F6764"/>
    <w:rsid w:val="665233C1"/>
    <w:rsid w:val="66677E89"/>
    <w:rsid w:val="685272C6"/>
    <w:rsid w:val="69AC0D42"/>
    <w:rsid w:val="6AD9688B"/>
    <w:rsid w:val="6B68303F"/>
    <w:rsid w:val="6D0E3F22"/>
    <w:rsid w:val="6ED4499C"/>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3"/>
    <w:next w:val="3"/>
    <w:qFormat/>
    <w:uiPriority w:val="0"/>
    <w:pPr>
      <w:tabs>
        <w:tab w:val="left" w:pos="1155"/>
      </w:tabs>
      <w:overflowPunct w:val="0"/>
      <w:spacing w:line="570" w:lineRule="exact"/>
      <w:outlineLvl w:val="1"/>
    </w:pPr>
    <w:rPr>
      <w:rFonts w:ascii="方正仿宋_GBK" w:hAnsi="仿宋_GB2312" w:eastAsia="方正仿宋_GBK"/>
      <w:kern w:val="2"/>
      <w:sz w:val="32"/>
      <w:szCs w:val="28"/>
      <w:lang w:val="en-G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3">
    <w:name w:val="胡式（正文）"/>
    <w:basedOn w:val="1"/>
    <w:qFormat/>
    <w:uiPriority w:val="0"/>
    <w:pPr>
      <w:tabs>
        <w:tab w:val="left" w:pos="1155"/>
      </w:tabs>
      <w:overflowPunct w:val="0"/>
      <w:spacing w:line="240" w:lineRule="auto"/>
      <w:ind w:firstLine="0" w:firstLineChars="0"/>
      <w:jc w:val="center"/>
    </w:pPr>
    <w:rPr>
      <w:rFonts w:eastAsia="华文中宋"/>
      <w:color w:val="000000"/>
      <w:sz w:val="21"/>
      <w:szCs w:val="28"/>
    </w:rPr>
  </w:style>
  <w:style w:type="paragraph" w:styleId="5">
    <w:name w:val="table of authorities"/>
    <w:basedOn w:val="1"/>
    <w:next w:val="1"/>
    <w:qFormat/>
    <w:uiPriority w:val="0"/>
    <w:pPr>
      <w:ind w:left="420" w:leftChars="200"/>
    </w:pPr>
  </w:style>
  <w:style w:type="paragraph" w:styleId="6">
    <w:name w:val="annotation text"/>
    <w:basedOn w:val="1"/>
    <w:qFormat/>
    <w:uiPriority w:val="0"/>
    <w:pPr>
      <w:jc w:val="left"/>
    </w:pPr>
  </w:style>
  <w:style w:type="paragraph" w:styleId="7">
    <w:name w:val="Body Text"/>
    <w:basedOn w:val="1"/>
    <w:next w:val="1"/>
    <w:unhideWhenUsed/>
    <w:qFormat/>
    <w:uiPriority w:val="99"/>
    <w:pPr>
      <w:spacing w:line="560" w:lineRule="exact"/>
      <w:ind w:left="0"/>
    </w:pPr>
    <w:rPr>
      <w:rFonts w:ascii="仿宋_GB2312" w:eastAsia="仿宋_GB2312"/>
      <w:kern w:val="2"/>
      <w:sz w:val="32"/>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index 7"/>
    <w:basedOn w:val="1"/>
    <w:next w:val="1"/>
    <w:unhideWhenUsed/>
    <w:qFormat/>
    <w:uiPriority w:val="99"/>
    <w:pPr>
      <w:ind w:left="252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6">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7">
    <w:name w:val="默认"/>
    <w:qFormat/>
    <w:uiPriority w:val="0"/>
    <w:rPr>
      <w:rFonts w:ascii="Helvetica" w:hAnsi="Helvetica" w:eastAsia="Helvetica" w:cs="Helvetica"/>
      <w:color w:val="000000"/>
      <w:sz w:val="22"/>
      <w:szCs w:val="22"/>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1283</Words>
  <Characters>1338</Characters>
  <Lines>1</Lines>
  <Paragraphs>1</Paragraphs>
  <TotalTime>0</TotalTime>
  <ScaleCrop>false</ScaleCrop>
  <LinksUpToDate>false</LinksUpToDate>
  <CharactersWithSpaces>1382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赵雪松</cp:lastModifiedBy>
  <cp:lastPrinted>2022-06-06T16:09:00Z</cp:lastPrinted>
  <dcterms:modified xsi:type="dcterms:W3CDTF">2023-12-01T08:55:52Z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16855715B2DC4FE0974D71AAA97947C8_13</vt:lpwstr>
  </property>
</Properties>
</file>