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560" w:lineRule="exact"/>
        <w:jc w:val="both"/>
        <w:rPr>
          <w:rFonts w:ascii="Times New Roman" w:hAnsi="Times New Roman"/>
          <w:szCs w:val="32"/>
          <w:u w:val="none"/>
        </w:rPr>
      </w:pPr>
    </w:p>
    <w:p>
      <w:pPr>
        <w:pStyle w:val="11"/>
        <w:spacing w:line="560" w:lineRule="exact"/>
        <w:jc w:val="both"/>
        <w:rPr>
          <w:rFonts w:ascii="Times New Roman" w:hAnsi="Times New Roman"/>
          <w:szCs w:val="32"/>
          <w:u w:val="none"/>
        </w:rPr>
      </w:pPr>
    </w:p>
    <w:p>
      <w:pPr>
        <w:pStyle w:val="11"/>
        <w:spacing w:line="560" w:lineRule="exact"/>
        <w:ind w:firstLine="420"/>
        <w:rPr>
          <w:rFonts w:ascii="Times New Roman" w:hAnsi="Times New Roman"/>
          <w:szCs w:val="32"/>
          <w:u w:val="none"/>
        </w:rPr>
      </w:pPr>
      <w:r>
        <w:rPr>
          <w:rFonts w:ascii="Times New Roman" w:hAnsi="仿宋_GB2312" w:eastAsia="仿宋_GB2312"/>
          <w:sz w:val="32"/>
          <w:u w:val="none"/>
          <w:lang w:bidi="ar"/>
        </w:rPr>
        <w:pict>
          <v:shape id="艺术字 4" o:spid="_x0000_s1026" o:spt="136" type="#_x0000_t136" style="position:absolute;left:0pt;margin-left:5.75pt;margin-top:12.15pt;height:62.4pt;width:431.35pt;z-index:251658240;mso-width-relative:page;mso-height-relative:page;" fillcolor="#FF0000" filled="t" stroked="t" coordsize="21600,21600" adj="10800">
            <v:path/>
            <v:fill on="t" color2="#FFFFFF" focussize="0,0"/>
            <v:stroke color="#FF0000" joinstyle="miter"/>
            <v:imagedata o:title=""/>
            <o:lock v:ext="edit" aspectratio="f"/>
            <v:textpath on="t" fitshape="t" fitpath="t" trim="t" xscale="f" string="重庆市巴南区发展和改革委员会文件" style="font-family:方正小标宋_GBK;font-size:36pt;v-rotate-letters:f;v-same-letter-heights:f;v-text-align:center;"/>
          </v:shape>
        </w:pict>
      </w:r>
    </w:p>
    <w:p>
      <w:pPr>
        <w:pStyle w:val="11"/>
        <w:spacing w:line="560" w:lineRule="exact"/>
        <w:ind w:firstLine="420"/>
        <w:jc w:val="center"/>
        <w:rPr>
          <w:rFonts w:ascii="Times New Roman" w:hAnsi="Times New Roman"/>
          <w:szCs w:val="32"/>
          <w:u w:val="none"/>
        </w:rPr>
      </w:pPr>
    </w:p>
    <w:p>
      <w:pPr>
        <w:pStyle w:val="11"/>
        <w:spacing w:line="560" w:lineRule="exact"/>
        <w:ind w:firstLine="420"/>
        <w:jc w:val="center"/>
        <w:rPr>
          <w:rFonts w:ascii="Times New Roman" w:hAnsi="Times New Roman"/>
          <w:u w:val="none"/>
        </w:rPr>
      </w:pPr>
    </w:p>
    <w:p>
      <w:pPr>
        <w:spacing w:before="192" w:beforeLines="80" w:line="560" w:lineRule="exact"/>
        <w:jc w:val="center"/>
        <w:rPr>
          <w:rFonts w:eastAsia="方正仿宋_GBK"/>
          <w:kern w:val="0"/>
          <w:sz w:val="32"/>
          <w:szCs w:val="32"/>
        </w:rPr>
      </w:pPr>
      <w:r>
        <w:rPr>
          <w:rFonts w:ascii="Times New Roman" w:hAnsi="Times New Roman"/>
          <w:u w:val="none"/>
          <w:lang w:bidi="ar"/>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497205</wp:posOffset>
                </wp:positionV>
                <wp:extent cx="561848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8480" cy="0"/>
                        </a:xfrm>
                        <a:prstGeom prst="line">
                          <a:avLst/>
                        </a:prstGeom>
                        <a:ln w="15875" cap="flat" cmpd="sng">
                          <a:solidFill>
                            <a:srgbClr val="FF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2.85pt;margin-top:39.15pt;height:0pt;width:442.4pt;z-index:251659264;mso-width-relative:page;mso-height-relative:page;" filled="f" stroked="t" coordsize="21600,21600" o:gfxdata="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GK8NC0wAAAAcBAAAPAAAA&#10;AAAAAAEAIAAAACIAAABkcnMvZG93bnJldi54bWxQSwECFAAUAAAACACHTuJA+9ZlveEBAAChAwAA&#10;DgAAAAAAAAABACAAAAAiAQAAZHJzL2Uyb0RvYy54bWxQSwUGAAAAAAYABgBZAQAAdQUAAAAA&#10;">
                <v:fill on="f" focussize="0,0"/>
                <v:stroke weight="1.25pt" color="#FF0000" joinstyle="miter"/>
                <v:imagedata o:title=""/>
                <o:lock v:ext="edit" aspectratio="f"/>
              </v:line>
            </w:pict>
          </mc:Fallback>
        </mc:AlternateContent>
      </w:r>
      <w:r>
        <w:rPr>
          <w:rFonts w:eastAsia="方正仿宋_GBK"/>
          <w:kern w:val="0"/>
          <w:sz w:val="32"/>
          <w:szCs w:val="32"/>
        </w:rPr>
        <w:t>巴南发改</w:t>
      </w:r>
      <w:r>
        <w:rPr>
          <w:rFonts w:hint="eastAsia" w:eastAsia="方正仿宋_GBK"/>
          <w:kern w:val="0"/>
          <w:sz w:val="32"/>
          <w:szCs w:val="32"/>
        </w:rPr>
        <w:t>审</w:t>
      </w:r>
      <w:r>
        <w:rPr>
          <w:rFonts w:eastAsia="方正仿宋_GBK"/>
          <w:kern w:val="0"/>
          <w:sz w:val="32"/>
          <w:szCs w:val="32"/>
        </w:rPr>
        <w:t>发</w:t>
      </w:r>
      <w:r>
        <w:rPr>
          <w:rFonts w:hint="eastAsia" w:ascii="方正仿宋_GBK" w:hAnsi="方正仿宋_GBK" w:eastAsia="方正仿宋_GBK" w:cs="方正仿宋_GBK"/>
          <w:kern w:val="0"/>
          <w:sz w:val="32"/>
          <w:szCs w:val="32"/>
        </w:rPr>
        <w:t>〔</w:t>
      </w:r>
      <w:r>
        <w:rPr>
          <w:rFonts w:hint="eastAsia" w:eastAsia="方正仿宋_GBK"/>
          <w:kern w:val="0"/>
          <w:sz w:val="32"/>
          <w:szCs w:val="32"/>
        </w:rPr>
        <w:t>2025〕</w:t>
      </w:r>
      <w:r>
        <w:rPr>
          <w:rFonts w:hint="eastAsia" w:eastAsia="方正仿宋_GBK"/>
          <w:kern w:val="0"/>
          <w:sz w:val="32"/>
          <w:szCs w:val="32"/>
          <w:lang w:val="en-US" w:eastAsia="zh-CN"/>
        </w:rPr>
        <w:t>332</w:t>
      </w:r>
      <w:r>
        <w:rPr>
          <w:rFonts w:eastAsia="方正仿宋_GBK"/>
          <w:kern w:val="0"/>
          <w:sz w:val="32"/>
          <w:szCs w:val="32"/>
        </w:rPr>
        <w:t>号</w:t>
      </w:r>
    </w:p>
    <w:p>
      <w:pPr>
        <w:spacing w:line="560" w:lineRule="exact"/>
        <w:ind w:firstLine="480" w:firstLineChars="150"/>
        <w:rPr>
          <w:rFonts w:hint="eastAsia" w:ascii="Times New Roman" w:hAnsi="方正楷体_GBK" w:eastAsia="方正楷体_GBK"/>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eastAsia="方正小标宋_GBK"/>
          <w:color w:val="auto"/>
          <w:spacing w:val="0"/>
          <w:w w:val="100"/>
          <w:sz w:val="44"/>
          <w:szCs w:val="44"/>
        </w:rPr>
      </w:pPr>
      <w:r>
        <w:rPr>
          <w:rFonts w:ascii="Times New Roman" w:hAnsi="Times New Roman"/>
          <w:u w:val="none"/>
          <w:lang w:bidi="ar"/>
        </w:rPr>
        <w:tab/>
      </w:r>
      <w:r>
        <w:rPr>
          <w:rFonts w:ascii="Times New Roman" w:hAnsi="Times New Roman"/>
          <w:u w:val="none"/>
          <w:lang w:bidi="ar"/>
        </w:rPr>
        <w:t xml:space="preserve"> </w:t>
      </w:r>
      <w:r>
        <w:rPr>
          <w:rFonts w:eastAsia="方正小标宋_GBK"/>
          <w:color w:val="auto"/>
          <w:spacing w:val="0"/>
          <w:w w:val="100"/>
          <w:sz w:val="44"/>
          <w:szCs w:val="44"/>
        </w:rPr>
        <w:t>重庆市巴南区发展和改革委员会</w:t>
      </w:r>
    </w:p>
    <w:p>
      <w:pPr>
        <w:pStyle w:val="18"/>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Cs/>
          <w:color w:val="000000"/>
          <w:sz w:val="44"/>
          <w:szCs w:val="44"/>
          <w:lang w:eastAsia="zh-CN"/>
        </w:rPr>
      </w:pPr>
      <w:r>
        <w:rPr>
          <w:rFonts w:hint="eastAsia" w:ascii="方正小标宋_GBK" w:hAnsi="方正小标宋_GBK" w:eastAsia="方正小标宋_GBK" w:cs="方正小标宋_GBK"/>
          <w:bCs/>
          <w:color w:val="000000"/>
          <w:sz w:val="44"/>
          <w:szCs w:val="44"/>
        </w:rPr>
        <w:t>关于</w:t>
      </w:r>
      <w:r>
        <w:rPr>
          <w:rFonts w:hint="eastAsia" w:ascii="方正小标宋_GBK" w:hAnsi="方正小标宋_GBK" w:eastAsia="方正小标宋_GBK" w:cs="方正小标宋_GBK"/>
          <w:bCs/>
          <w:color w:val="000000"/>
          <w:sz w:val="44"/>
          <w:szCs w:val="44"/>
          <w:lang w:eastAsia="zh-CN"/>
        </w:rPr>
        <w:t>开金路核准的批复</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方正仿宋_GBK" w:hAnsi="方正仿宋_GBK" w:eastAsia="方正仿宋_GBK" w:cs="方正仿宋_GBK"/>
          <w:sz w:val="32"/>
          <w:szCs w:val="32"/>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top"/>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val="en-US" w:eastAsia="zh-CN"/>
        </w:rPr>
        <w:t>重庆</w:t>
      </w:r>
      <w:r>
        <w:rPr>
          <w:rFonts w:hint="eastAsia" w:ascii="方正仿宋_GBK" w:hAnsi="方正仿宋_GBK" w:eastAsia="方正仿宋_GBK" w:cs="方正仿宋_GBK"/>
          <w:sz w:val="32"/>
          <w:szCs w:val="32"/>
          <w:vertAlign w:val="baseline"/>
          <w:lang w:eastAsia="zh-CN"/>
        </w:rPr>
        <w:t>新大地农产品</w:t>
      </w:r>
      <w:r>
        <w:rPr>
          <w:rFonts w:hint="eastAsia" w:ascii="方正仿宋_GBK" w:hAnsi="方正仿宋_GBK" w:eastAsia="方正仿宋_GBK" w:cs="方正仿宋_GBK"/>
          <w:sz w:val="32"/>
          <w:szCs w:val="32"/>
          <w:highlight w:val="none"/>
          <w:lang w:val="en-US" w:eastAsia="zh-CN"/>
        </w:rPr>
        <w:t>有限公司</w:t>
      </w:r>
      <w:r>
        <w:rPr>
          <w:rFonts w:hint="eastAsia" w:ascii="方正仿宋_GBK" w:hAnsi="方正仿宋_GBK" w:eastAsia="方正仿宋_GBK" w:cs="方正仿宋_GBK"/>
          <w:sz w:val="32"/>
          <w:szCs w:val="32"/>
          <w:highlight w:val="none"/>
          <w:lang w:eastAsia="zh-CN"/>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top"/>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lang w:eastAsia="zh-CN"/>
        </w:rPr>
        <w:t>你单位《关于办理开金路项目核准的申请</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bCs/>
          <w:color w:val="000000"/>
          <w:sz w:val="32"/>
          <w:szCs w:val="32"/>
          <w:lang w:eastAsia="zh-CN"/>
        </w:rPr>
        <w:t>渝新大地</w:t>
      </w:r>
      <w:r>
        <w:rPr>
          <w:rFonts w:hint="eastAsia" w:ascii="方正仿宋_GBK" w:hAnsi="方正仿宋_GBK" w:eastAsia="方正仿宋_GBK" w:cs="方正仿宋_GBK"/>
          <w:sz w:val="32"/>
          <w:szCs w:val="32"/>
          <w:highlight w:val="none"/>
        </w:rPr>
        <w:t>〔20</w:t>
      </w:r>
      <w:r>
        <w:rPr>
          <w:rFonts w:hint="eastAsia" w:ascii="方正仿宋_GBK" w:hAnsi="方正仿宋_GBK" w:eastAsia="方正仿宋_GBK" w:cs="方正仿宋_GBK"/>
          <w:sz w:val="32"/>
          <w:szCs w:val="32"/>
          <w:highlight w:val="none"/>
          <w:lang w:val="en-US" w:eastAsia="zh-CN"/>
        </w:rPr>
        <w:t>25</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34</w:t>
      </w:r>
      <w:r>
        <w:rPr>
          <w:rFonts w:hint="eastAsia" w:ascii="方正仿宋_GBK" w:hAnsi="方正仿宋_GBK" w:eastAsia="方正仿宋_GBK" w:cs="方正仿宋_GBK"/>
          <w:sz w:val="32"/>
          <w:szCs w:val="32"/>
          <w:highlight w:val="none"/>
        </w:rPr>
        <w:t>号）收悉</w:t>
      </w:r>
      <w:r>
        <w:rPr>
          <w:rFonts w:hint="eastAsia" w:ascii="方正仿宋_GBK" w:hAnsi="方正仿宋_GBK" w:eastAsia="方正仿宋_GBK" w:cs="方正仿宋_GBK"/>
          <w:sz w:val="32"/>
          <w:szCs w:val="32"/>
          <w:highlight w:val="none"/>
          <w:lang w:eastAsia="zh-CN"/>
        </w:rPr>
        <w:t>。依据《行政许可法》、《企业投资项目核准和备案管理条例》，结合</w:t>
      </w:r>
      <w:r>
        <w:rPr>
          <w:rFonts w:hint="eastAsia" w:ascii="方正仿宋_GBK" w:hAnsi="方正仿宋_GBK" w:eastAsia="方正仿宋_GBK" w:cs="方正仿宋_GBK"/>
          <w:sz w:val="32"/>
          <w:szCs w:val="32"/>
        </w:rPr>
        <w:t>中实建设工程咨询有限公司</w:t>
      </w:r>
      <w:r>
        <w:rPr>
          <w:rFonts w:hint="eastAsia" w:ascii="方正仿宋_GBK" w:hAnsi="方正仿宋_GBK" w:eastAsia="方正仿宋_GBK" w:cs="方正仿宋_GBK"/>
          <w:sz w:val="32"/>
          <w:szCs w:val="32"/>
          <w:lang w:val="en-US" w:eastAsia="zh-CN"/>
        </w:rPr>
        <w:t>的评估报告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经研究，现就该项目核准事项批复如下：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6" w:firstLineChars="200"/>
        <w:jc w:val="left"/>
        <w:textAlignment w:val="top"/>
        <w:rPr>
          <w:rFonts w:hint="eastAsia" w:ascii="方正黑体_GBK" w:hAnsi="方正黑体_GBK" w:eastAsia="方正黑体_GBK" w:cs="方正黑体_GBK"/>
          <w:sz w:val="32"/>
          <w:szCs w:val="32"/>
          <w:highlight w:val="none"/>
        </w:rPr>
      </w:pPr>
      <w:r>
        <w:rPr>
          <w:rFonts w:hint="eastAsia" w:ascii="方正黑体_GBK" w:hAnsi="方正黑体_GBK" w:eastAsia="方正黑体_GBK" w:cs="方正黑体_GBK"/>
          <w:spacing w:val="-11"/>
          <w:sz w:val="32"/>
          <w:szCs w:val="32"/>
          <w:highlight w:val="none"/>
        </w:rPr>
        <w:t>一、</w:t>
      </w:r>
      <w:r>
        <w:rPr>
          <w:rFonts w:hint="eastAsia" w:ascii="方正黑体_GBK" w:hAnsi="方正黑体_GBK" w:eastAsia="方正黑体_GBK" w:cs="方正黑体_GBK"/>
          <w:spacing w:val="-11"/>
          <w:sz w:val="32"/>
          <w:szCs w:val="32"/>
          <w:highlight w:val="none"/>
          <w:lang w:eastAsia="zh-CN"/>
        </w:rPr>
        <w:t>为</w:t>
      </w:r>
      <w:r>
        <w:rPr>
          <w:rFonts w:hint="eastAsia" w:ascii="方正黑体_GBK" w:hAnsi="方正黑体_GBK" w:eastAsia="方正黑体_GBK" w:cs="方正黑体_GBK"/>
          <w:sz w:val="32"/>
          <w:szCs w:val="32"/>
          <w:highlight w:val="none"/>
          <w:lang w:eastAsia="zh-CN"/>
        </w:rPr>
        <w:t>完善片区路网建设，解决片区出行问题，</w:t>
      </w:r>
      <w:r>
        <w:rPr>
          <w:rFonts w:hint="eastAsia" w:ascii="方正黑体_GBK" w:hAnsi="方正黑体_GBK" w:eastAsia="方正黑体_GBK" w:cs="方正黑体_GBK"/>
          <w:sz w:val="32"/>
          <w:szCs w:val="32"/>
          <w:highlight w:val="none"/>
        </w:rPr>
        <w:t>同意建设</w:t>
      </w:r>
      <w:r>
        <w:rPr>
          <w:rFonts w:hint="eastAsia" w:ascii="方正黑体_GBK" w:hAnsi="方正黑体_GBK" w:eastAsia="方正黑体_GBK" w:cs="方正黑体_GBK"/>
          <w:bCs/>
          <w:color w:val="000000"/>
          <w:sz w:val="32"/>
          <w:szCs w:val="32"/>
          <w:lang w:eastAsia="zh-CN"/>
        </w:rPr>
        <w:t>开金路</w:t>
      </w:r>
      <w:r>
        <w:rPr>
          <w:rFonts w:hint="eastAsia" w:ascii="方正黑体_GBK" w:hAnsi="方正黑体_GBK" w:eastAsia="方正黑体_GBK" w:cs="方正黑体_GBK"/>
          <w:sz w:val="32"/>
          <w:szCs w:val="32"/>
          <w:highlight w:val="none"/>
        </w:rPr>
        <w:t>（</w:t>
      </w:r>
      <w:r>
        <w:rPr>
          <w:rFonts w:hint="eastAsia" w:ascii="方正黑体_GBK" w:hAnsi="方正黑体_GBK" w:eastAsia="方正黑体_GBK" w:cs="方正黑体_GBK"/>
          <w:i w:val="0"/>
          <w:caps w:val="0"/>
          <w:color w:val="444444"/>
          <w:spacing w:val="0"/>
          <w:sz w:val="32"/>
          <w:szCs w:val="32"/>
          <w:shd w:val="clear" w:color="auto" w:fill="FFFFFF"/>
        </w:rPr>
        <w:t>2510-500113-04-01-105666</w:t>
      </w:r>
      <w:r>
        <w:rPr>
          <w:rFonts w:hint="eastAsia" w:ascii="方正黑体_GBK" w:hAnsi="方正黑体_GBK" w:eastAsia="方正黑体_GBK" w:cs="方正黑体_GBK"/>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top"/>
        <w:rPr>
          <w:rFonts w:hint="eastAsia" w:ascii="方正仿宋_GBK" w:hAnsi="方正仿宋_GBK" w:eastAsia="方正仿宋_GBK" w:cs="Times New Roman"/>
          <w:sz w:val="32"/>
          <w:szCs w:val="32"/>
          <w:lang w:eastAsia="zh-CN"/>
        </w:rPr>
      </w:pPr>
      <w:r>
        <w:rPr>
          <w:rFonts w:hint="eastAsia" w:ascii="方正黑体_GBK" w:hAnsi="方正黑体_GBK" w:eastAsia="方正黑体_GBK"/>
          <w:sz w:val="32"/>
          <w:szCs w:val="32"/>
          <w:highlight w:val="none"/>
          <w:lang w:eastAsia="zh-CN"/>
        </w:rPr>
        <w:t>二、项目单位：</w:t>
      </w:r>
      <w:r>
        <w:rPr>
          <w:rFonts w:hint="eastAsia" w:ascii="方正仿宋_GBK" w:hAnsi="方正仿宋_GBK" w:eastAsia="方正仿宋_GBK" w:cs="方正仿宋_GBK"/>
          <w:sz w:val="32"/>
          <w:szCs w:val="32"/>
          <w:highlight w:val="none"/>
          <w:lang w:val="en-US" w:eastAsia="zh-CN"/>
        </w:rPr>
        <w:t>重庆</w:t>
      </w:r>
      <w:r>
        <w:rPr>
          <w:rFonts w:hint="eastAsia" w:ascii="方正仿宋_GBK" w:hAnsi="方正仿宋_GBK" w:eastAsia="方正仿宋_GBK" w:cs="方正仿宋_GBK"/>
          <w:sz w:val="32"/>
          <w:szCs w:val="32"/>
          <w:vertAlign w:val="baseline"/>
          <w:lang w:eastAsia="zh-CN"/>
        </w:rPr>
        <w:t>新大地农产品</w:t>
      </w:r>
      <w:r>
        <w:rPr>
          <w:rFonts w:hint="eastAsia" w:ascii="方正仿宋_GBK" w:hAnsi="方正仿宋_GBK" w:eastAsia="方正仿宋_GBK" w:cs="方正仿宋_GBK"/>
          <w:sz w:val="32"/>
          <w:szCs w:val="32"/>
          <w:highlight w:val="none"/>
          <w:lang w:val="en-US" w:eastAsia="zh-CN"/>
        </w:rPr>
        <w:t>有限公司</w:t>
      </w:r>
      <w:r>
        <w:rPr>
          <w:rFonts w:hint="eastAsia" w:ascii="方正仿宋_GBK" w:hAnsi="方正仿宋_GBK" w:eastAsia="方正仿宋_GBK" w:cs="Times New Roman"/>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top"/>
        <w:rPr>
          <w:rFonts w:hint="eastAsia" w:ascii="方正仿宋_GBK" w:hAnsi="方正仿宋_GBK" w:eastAsia="方正仿宋_GBK"/>
          <w:sz w:val="32"/>
          <w:szCs w:val="32"/>
          <w:highlight w:val="none"/>
          <w:lang w:eastAsia="zh-CN"/>
        </w:rPr>
      </w:pPr>
      <w:r>
        <w:rPr>
          <w:rFonts w:hint="eastAsia" w:ascii="方正黑体_GBK" w:hAnsi="方正黑体_GBK" w:eastAsia="方正黑体_GBK"/>
          <w:sz w:val="32"/>
          <w:szCs w:val="32"/>
          <w:highlight w:val="none"/>
          <w:lang w:eastAsia="zh-CN"/>
        </w:rPr>
        <w:t>三</w:t>
      </w:r>
      <w:r>
        <w:rPr>
          <w:rFonts w:hint="eastAsia" w:ascii="方正黑体_GBK" w:hAnsi="方正黑体_GBK" w:eastAsia="方正黑体_GBK"/>
          <w:sz w:val="32"/>
          <w:szCs w:val="32"/>
          <w:highlight w:val="none"/>
        </w:rPr>
        <w:t>、项目建</w:t>
      </w:r>
      <w:r>
        <w:rPr>
          <w:rFonts w:hint="eastAsia" w:ascii="方正黑体_GBK" w:hAnsi="方正黑体_GBK" w:eastAsia="方正黑体_GBK"/>
          <w:sz w:val="32"/>
          <w:szCs w:val="32"/>
          <w:highlight w:val="none"/>
          <w:lang w:eastAsia="zh-CN"/>
        </w:rPr>
        <w:t>设地点：</w:t>
      </w:r>
      <w:r>
        <w:rPr>
          <w:rFonts w:hint="eastAsia" w:ascii="方正仿宋_GBK" w:hAnsi="方正仿宋_GBK" w:eastAsia="方正仿宋_GBK" w:cs="方正仿宋_GBK"/>
          <w:b w:val="0"/>
          <w:bCs w:val="0"/>
          <w:color w:val="auto"/>
          <w:kern w:val="2"/>
          <w:sz w:val="32"/>
          <w:szCs w:val="32"/>
          <w:highlight w:val="none"/>
          <w:lang w:val="en-US" w:eastAsia="zh-CN" w:bidi="ar-SA"/>
        </w:rPr>
        <w:t>巴南区重庆公路物流基地内。</w:t>
      </w:r>
    </w:p>
    <w:p>
      <w:pPr>
        <w:pStyle w:val="5"/>
        <w:keepNext w:val="0"/>
        <w:keepLines w:val="0"/>
        <w:pageBreakBefore w:val="0"/>
        <w:kinsoku/>
        <w:wordWrap/>
        <w:overflowPunct/>
        <w:topLinePunct w:val="0"/>
        <w:autoSpaceDE/>
        <w:autoSpaceDN/>
        <w:bidi w:val="0"/>
        <w:adjustRightInd/>
        <w:snapToGrid/>
        <w:spacing w:before="0" w:beforeLines="0" w:after="0" w:afterLines="0" w:line="560" w:lineRule="exact"/>
        <w:textAlignment w:val="top"/>
        <w:rPr>
          <w:rFonts w:hint="default"/>
          <w:sz w:val="32"/>
          <w:szCs w:val="32"/>
          <w:highlight w:val="none"/>
          <w:lang w:val="en-US" w:eastAsia="zh-CN"/>
        </w:rPr>
      </w:pPr>
      <w:r>
        <w:rPr>
          <w:rFonts w:hint="eastAsia" w:ascii="方正仿宋_GBK" w:hAnsi="方正仿宋_GBK" w:eastAsia="方正仿宋_GBK"/>
          <w:sz w:val="32"/>
          <w:szCs w:val="32"/>
          <w:highlight w:val="none"/>
          <w:lang w:val="en-US" w:eastAsia="zh-CN"/>
        </w:rPr>
        <w:t xml:space="preserve">    </w:t>
      </w:r>
      <w:r>
        <w:rPr>
          <w:rFonts w:hint="eastAsia" w:ascii="方正黑体_GBK" w:hAnsi="方正黑体_GBK" w:eastAsia="方正黑体_GBK" w:cs="Times New Roman"/>
          <w:sz w:val="32"/>
          <w:szCs w:val="32"/>
          <w:highlight w:val="none"/>
          <w:lang w:val="en-US" w:eastAsia="zh-CN" w:bidi="ar-SA"/>
        </w:rPr>
        <w:t>四、建设性质：</w:t>
      </w:r>
      <w:r>
        <w:rPr>
          <w:rFonts w:hint="eastAsia" w:ascii="方正仿宋_GBK" w:hAnsi="方正仿宋_GBK" w:eastAsia="方正仿宋_GBK" w:cs="方正仿宋_GBK"/>
          <w:color w:val="auto"/>
          <w:sz w:val="32"/>
          <w:szCs w:val="32"/>
          <w:lang w:val="en-US" w:eastAsia="zh-CN"/>
        </w:rPr>
        <w:t>新建</w:t>
      </w:r>
      <w:r>
        <w:rPr>
          <w:rFonts w:hint="eastAsia" w:ascii="方正仿宋_GBK" w:hAnsi="方正仿宋_GBK" w:eastAsia="方正仿宋_GBK" w:cs="方正仿宋_GBK"/>
          <w:sz w:val="32"/>
          <w:szCs w:val="32"/>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napToGrid w:val="0"/>
          <w:sz w:val="32"/>
          <w:szCs w:val="32"/>
          <w:lang w:val="en-US" w:eastAsia="zh-CN"/>
        </w:rPr>
      </w:pPr>
      <w:r>
        <w:rPr>
          <w:rFonts w:hint="eastAsia" w:ascii="方正黑体_GBK" w:hAnsi="方正黑体_GBK" w:eastAsia="方正黑体_GBK"/>
          <w:sz w:val="32"/>
          <w:szCs w:val="32"/>
          <w:highlight w:val="none"/>
          <w:lang w:eastAsia="zh-CN"/>
        </w:rPr>
        <w:t>五、项目建设规模和建设内容：</w:t>
      </w:r>
      <w:r>
        <w:rPr>
          <w:rFonts w:hint="eastAsia" w:ascii="方正仿宋_GBK" w:hAnsi="方正仿宋_GBK" w:eastAsia="方正仿宋_GBK" w:cs="方正仿宋_GBK"/>
          <w:snapToGrid w:val="0"/>
          <w:sz w:val="32"/>
          <w:szCs w:val="32"/>
          <w:lang w:val="en-US" w:eastAsia="zh-CN"/>
        </w:rPr>
        <w:t xml:space="preserve">道路全长约630m，城市主干路，路幅宽度36m，双向6车道，设计速度50km/h。主要建设内容为路基、路面、附属工程及综合管网（排水工程、照明工程，电讯工程）等配套设施。 </w:t>
      </w:r>
    </w:p>
    <w:p>
      <w:pPr>
        <w:keepNext w:val="0"/>
        <w:keepLines w:val="0"/>
        <w:pageBreakBefore w:val="0"/>
        <w:kinsoku/>
        <w:wordWrap/>
        <w:overflowPunct/>
        <w:topLinePunct w:val="0"/>
        <w:autoSpaceDE/>
        <w:autoSpaceDN/>
        <w:bidi w:val="0"/>
        <w:adjustRightInd/>
        <w:snapToGrid/>
        <w:spacing w:line="560" w:lineRule="exact"/>
        <w:ind w:right="113" w:firstLine="614" w:firstLineChars="192"/>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黑体_GBK" w:hAnsi="方正黑体_GBK" w:eastAsia="方正黑体_GBK"/>
          <w:color w:val="000000"/>
          <w:sz w:val="32"/>
          <w:szCs w:val="32"/>
          <w:highlight w:val="none"/>
          <w:lang w:eastAsia="zh-CN"/>
        </w:rPr>
        <w:t>六、项目总投</w:t>
      </w:r>
      <w:r>
        <w:rPr>
          <w:rFonts w:hint="eastAsia" w:ascii="方正黑体_GBK" w:hAnsi="方正黑体_GBK" w:eastAsia="方正黑体_GBK" w:cs="方正黑体_GBK"/>
          <w:color w:val="000000"/>
          <w:sz w:val="32"/>
          <w:szCs w:val="32"/>
          <w:highlight w:val="none"/>
          <w:lang w:eastAsia="zh-CN"/>
        </w:rPr>
        <w:t>资为</w:t>
      </w:r>
      <w:r>
        <w:rPr>
          <w:rFonts w:hint="eastAsia" w:ascii="Times New Roman" w:hAnsi="Times New Roman" w:cs="Times New Roman"/>
          <w:color w:val="auto"/>
          <w:sz w:val="28"/>
          <w:szCs w:val="28"/>
          <w:lang w:val="en-US" w:eastAsia="zh-CN"/>
        </w:rPr>
        <w:t>10768.82</w:t>
      </w:r>
      <w:r>
        <w:rPr>
          <w:rFonts w:hint="eastAsia" w:ascii="方正黑体_GBK" w:hAnsi="方正黑体_GBK" w:eastAsia="方正黑体_GBK" w:cs="方正黑体_GBK"/>
          <w:color w:val="000000"/>
          <w:sz w:val="32"/>
          <w:szCs w:val="32"/>
          <w:highlight w:val="none"/>
          <w:lang w:val="en-US" w:eastAsia="zh-CN"/>
        </w:rPr>
        <w:t>万元</w:t>
      </w:r>
      <w:r>
        <w:rPr>
          <w:rFonts w:hint="eastAsia" w:ascii="方正黑体_GBK" w:hAnsi="方正黑体_GBK" w:eastAsia="方正黑体_GBK" w:cs="Times New Roman"/>
          <w:color w:val="000000"/>
          <w:sz w:val="32"/>
          <w:szCs w:val="32"/>
          <w:highlight w:val="none"/>
          <w:lang w:val="en-US" w:eastAsia="zh-CN"/>
        </w:rPr>
        <w:t>。</w:t>
      </w:r>
      <w:r>
        <w:rPr>
          <w:rFonts w:hint="eastAsia" w:ascii="方正仿宋_GBK" w:hAnsi="方正仿宋_GBK" w:eastAsia="方正仿宋_GBK" w:cs="方正仿宋_GBK"/>
          <w:color w:val="auto"/>
          <w:sz w:val="32"/>
          <w:szCs w:val="32"/>
          <w:lang w:val="en-US" w:eastAsia="zh-CN"/>
        </w:rPr>
        <w:t>其中工程费用</w:t>
      </w:r>
      <w:r>
        <w:rPr>
          <w:rFonts w:hint="eastAsia" w:ascii="Times New Roman" w:hAnsi="Times New Roman" w:cs="Times New Roman"/>
          <w:color w:val="auto"/>
          <w:sz w:val="28"/>
          <w:szCs w:val="28"/>
          <w:lang w:val="en-US" w:eastAsia="zh-CN"/>
        </w:rPr>
        <w:t>4839.76</w:t>
      </w:r>
      <w:r>
        <w:rPr>
          <w:rFonts w:hint="eastAsia" w:ascii="方正仿宋_GBK" w:hAnsi="方正仿宋_GBK" w:eastAsia="方正仿宋_GBK" w:cs="方正仿宋_GBK"/>
          <w:color w:val="auto"/>
          <w:sz w:val="32"/>
          <w:szCs w:val="32"/>
          <w:lang w:val="en-US" w:eastAsia="zh-CN"/>
        </w:rPr>
        <w:t>万元，工程建设其他费</w:t>
      </w:r>
      <w:r>
        <w:rPr>
          <w:rFonts w:hint="eastAsia" w:ascii="Times New Roman" w:hAnsi="Times New Roman" w:cs="Times New Roman"/>
          <w:color w:val="auto"/>
          <w:sz w:val="28"/>
          <w:szCs w:val="28"/>
          <w:lang w:val="en-US" w:eastAsia="zh-CN"/>
        </w:rPr>
        <w:t>5494.33</w:t>
      </w:r>
      <w:r>
        <w:rPr>
          <w:rFonts w:hint="eastAsia" w:ascii="方正仿宋_GBK" w:hAnsi="方正仿宋_GBK" w:eastAsia="方正仿宋_GBK" w:cs="方正仿宋_GBK"/>
          <w:color w:val="auto"/>
          <w:sz w:val="32"/>
          <w:szCs w:val="32"/>
          <w:lang w:val="en-US" w:eastAsia="zh-CN"/>
        </w:rPr>
        <w:t>万元，预备费</w:t>
      </w:r>
      <w:r>
        <w:rPr>
          <w:rFonts w:hint="eastAsia" w:ascii="Times New Roman" w:hAnsi="Times New Roman" w:cs="Times New Roman"/>
          <w:color w:val="auto"/>
          <w:sz w:val="28"/>
          <w:szCs w:val="28"/>
          <w:lang w:val="en-US" w:eastAsia="zh-CN"/>
        </w:rPr>
        <w:t>434.73</w:t>
      </w:r>
      <w:r>
        <w:rPr>
          <w:rFonts w:hint="eastAsia" w:ascii="方正仿宋_GBK" w:hAnsi="方正仿宋_GBK" w:eastAsia="方正仿宋_GBK" w:cs="方正仿宋_GBK"/>
          <w:color w:val="auto"/>
          <w:sz w:val="32"/>
          <w:szCs w:val="32"/>
          <w:lang w:val="en-US" w:eastAsia="zh-CN"/>
        </w:rPr>
        <w:t>万元</w:t>
      </w:r>
      <w:r>
        <w:rPr>
          <w:rFonts w:hint="eastAsia" w:ascii="方正仿宋_GBK" w:hAnsi="方正仿宋_GBK" w:eastAsia="方正仿宋_GBK" w:cs="方正仿宋_GBK"/>
          <w:color w:val="auto"/>
          <w:kern w:val="2"/>
          <w:sz w:val="32"/>
          <w:szCs w:val="32"/>
          <w:highlight w:val="none"/>
          <w:lang w:val="en-US" w:eastAsia="zh-CN" w:bidi="ar-SA"/>
        </w:rPr>
        <w:t>。项目资金来源为业主自筹。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outlineLvl w:val="9"/>
        <w:rPr>
          <w:rFonts w:ascii="方正仿宋_GBK" w:hAnsi="方正仿宋_GBK" w:eastAsia="方正仿宋_GBK"/>
          <w:color w:val="FF0000"/>
          <w:sz w:val="32"/>
          <w:szCs w:val="32"/>
          <w:highlight w:val="none"/>
        </w:rPr>
      </w:pPr>
      <w:r>
        <w:rPr>
          <w:rFonts w:hint="eastAsia" w:ascii="方正黑体_GBK" w:hAnsi="方正黑体_GBK" w:eastAsia="方正黑体_GBK"/>
          <w:sz w:val="32"/>
          <w:szCs w:val="32"/>
          <w:highlight w:val="none"/>
          <w:lang w:eastAsia="zh-CN"/>
        </w:rPr>
        <w:t>七、</w:t>
      </w:r>
      <w:r>
        <w:rPr>
          <w:rFonts w:hint="eastAsia" w:ascii="方正黑体_GBK" w:hAnsi="方正黑体_GBK" w:eastAsia="方正黑体_GBK"/>
          <w:sz w:val="32"/>
          <w:szCs w:val="32"/>
          <w:highlight w:val="none"/>
          <w:lang w:val="en-US" w:eastAsia="zh-CN"/>
        </w:rPr>
        <w:t xml:space="preserve">招标核准：  </w:t>
      </w:r>
      <w:r>
        <w:rPr>
          <w:rFonts w:hint="eastAsia" w:ascii="方正仿宋_GBK" w:hAnsi="方正仿宋_GBK" w:eastAsia="方正仿宋_GBK"/>
          <w:color w:val="FF0000"/>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top"/>
        <w:outlineLvl w:val="9"/>
        <w:rPr>
          <w:rFonts w:hint="eastAsia" w:ascii="方正仿宋_GBK" w:hAnsi="Times New Roman" w:eastAsia="方正仿宋_GBK" w:cs="Times New Roman"/>
          <w:spacing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招标范围为施工，</w:t>
      </w:r>
      <w:r>
        <w:rPr>
          <w:rFonts w:hint="eastAsia" w:ascii="方正仿宋_GBK" w:hAnsi="Times New Roman" w:eastAsia="方正仿宋_GBK" w:cs="Times New Roman"/>
          <w:spacing w:val="0"/>
          <w:sz w:val="32"/>
          <w:szCs w:val="32"/>
          <w:highlight w:val="none"/>
          <w:lang w:val="en-US" w:eastAsia="zh-CN"/>
        </w:rPr>
        <w:t>招标方式为</w:t>
      </w:r>
      <w:r>
        <w:rPr>
          <w:rFonts w:hint="eastAsia" w:ascii="方正仿宋_GBK" w:hAnsi="方正仿宋_GBK" w:eastAsia="方正仿宋_GBK" w:cs="方正仿宋_GBK"/>
          <w:color w:val="auto"/>
          <w:kern w:val="2"/>
          <w:sz w:val="32"/>
          <w:szCs w:val="32"/>
          <w:lang w:val="en-US" w:eastAsia="zh-CN" w:bidi="ar-SA"/>
        </w:rPr>
        <w:t>公开</w:t>
      </w:r>
      <w:r>
        <w:rPr>
          <w:rFonts w:hint="eastAsia" w:ascii="方正仿宋_GBK" w:hAnsi="Times New Roman" w:eastAsia="方正仿宋_GBK" w:cs="Times New Roman"/>
          <w:spacing w:val="0"/>
          <w:sz w:val="32"/>
          <w:szCs w:val="32"/>
          <w:highlight w:val="none"/>
          <w:lang w:val="en-US" w:eastAsia="zh-CN"/>
        </w:rPr>
        <w:t>招标，招标组织形式为委托招标。</w:t>
      </w:r>
    </w:p>
    <w:p>
      <w:pPr>
        <w:keepNext w:val="0"/>
        <w:keepLines w:val="0"/>
        <w:pageBreakBefore w:val="0"/>
        <w:kinsoku/>
        <w:wordWrap/>
        <w:overflowPunct/>
        <w:topLinePunct w:val="0"/>
        <w:autoSpaceDE/>
        <w:autoSpaceDN/>
        <w:bidi w:val="0"/>
        <w:adjustRightInd/>
        <w:snapToGrid/>
        <w:spacing w:line="560" w:lineRule="exact"/>
        <w:ind w:left="0" w:firstLine="705"/>
        <w:rPr>
          <w:rFonts w:hint="eastAsia" w:ascii="方正黑体_GBK" w:hAnsi="方正黑体_GBK" w:eastAsia="方正黑体_GBK"/>
          <w:sz w:val="32"/>
          <w:szCs w:val="32"/>
          <w:highlight w:val="none"/>
          <w:lang w:eastAsia="zh-CN"/>
        </w:rPr>
      </w:pPr>
      <w:r>
        <w:rPr>
          <w:rFonts w:hint="eastAsia" w:ascii="方正黑体_GBK" w:hAnsi="方正黑体_GBK" w:eastAsia="方正黑体_GBK"/>
          <w:sz w:val="32"/>
          <w:szCs w:val="32"/>
          <w:highlight w:val="none"/>
          <w:lang w:eastAsia="zh-CN"/>
        </w:rPr>
        <w:t>八、按照相关法律、行政法规的规定，核准项目应附前置条件的相关文件是《建设项目用地预审与选址意见书》（用字第市政</w:t>
      </w:r>
      <w:r>
        <w:rPr>
          <w:rFonts w:hint="eastAsia" w:ascii="方正黑体_GBK" w:hAnsi="方正黑体_GBK" w:eastAsia="方正黑体_GBK"/>
          <w:sz w:val="32"/>
          <w:szCs w:val="32"/>
          <w:highlight w:val="none"/>
          <w:lang w:val="en-US" w:eastAsia="zh-CN"/>
        </w:rPr>
        <w:t>500113202500019号</w:t>
      </w:r>
      <w:r>
        <w:rPr>
          <w:rFonts w:hint="eastAsia" w:ascii="方正黑体_GBK" w:hAnsi="方正黑体_GBK" w:eastAsia="方正黑体_GBK"/>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left="0" w:firstLine="705"/>
        <w:textAlignment w:val="top"/>
        <w:rPr>
          <w:rFonts w:hint="eastAsia" w:ascii="方正黑体_GBK" w:hAnsi="方正黑体_GBK" w:eastAsia="方正黑体_GBK"/>
          <w:sz w:val="32"/>
          <w:szCs w:val="32"/>
          <w:highlight w:val="none"/>
          <w:lang w:eastAsia="zh-CN"/>
        </w:rPr>
      </w:pPr>
      <w:r>
        <w:rPr>
          <w:rFonts w:hint="eastAsia" w:ascii="方正黑体_GBK" w:hAnsi="方正黑体_GBK" w:eastAsia="方正黑体_GBK"/>
          <w:sz w:val="32"/>
          <w:szCs w:val="32"/>
          <w:highlight w:val="none"/>
          <w:lang w:eastAsia="zh-CN"/>
        </w:rPr>
        <w:t>九、如需对本项目核准文件所规定的建设地点、建设规模、主要建设内容等进行调整，请按照《重庆市企业投资项目核准和备案管理办法》的有关规定，及时提出变更申请，我委将根据项目具体情况，作出是否同意变更的书面决定。</w:t>
      </w:r>
    </w:p>
    <w:p>
      <w:pPr>
        <w:keepNext w:val="0"/>
        <w:keepLines w:val="0"/>
        <w:pageBreakBefore w:val="0"/>
        <w:kinsoku/>
        <w:wordWrap/>
        <w:overflowPunct/>
        <w:topLinePunct w:val="0"/>
        <w:autoSpaceDE/>
        <w:autoSpaceDN/>
        <w:bidi w:val="0"/>
        <w:adjustRightInd/>
        <w:snapToGrid/>
        <w:spacing w:line="560" w:lineRule="exact"/>
        <w:ind w:left="0" w:firstLine="705"/>
        <w:textAlignment w:val="top"/>
        <w:rPr>
          <w:rFonts w:hint="eastAsia" w:ascii="方正黑体_GBK" w:hAnsi="方正黑体_GBK" w:eastAsia="方正黑体_GBK"/>
          <w:sz w:val="32"/>
          <w:szCs w:val="32"/>
          <w:highlight w:val="none"/>
        </w:rPr>
      </w:pPr>
      <w:r>
        <w:rPr>
          <w:rFonts w:hint="eastAsia" w:ascii="方正黑体_GBK" w:hAnsi="方正黑体_GBK" w:eastAsia="方正黑体_GBK"/>
          <w:sz w:val="32"/>
          <w:szCs w:val="32"/>
          <w:highlight w:val="none"/>
          <w:lang w:eastAsia="zh-CN"/>
        </w:rPr>
        <w:t>十</w:t>
      </w:r>
      <w:r>
        <w:rPr>
          <w:rFonts w:hint="eastAsia" w:ascii="方正黑体_GBK" w:hAnsi="方正黑体_GBK" w:eastAsia="方正黑体_GBK"/>
          <w:sz w:val="32"/>
          <w:szCs w:val="32"/>
          <w:highlight w:val="none"/>
        </w:rPr>
        <w:t>、</w:t>
      </w:r>
      <w:r>
        <w:rPr>
          <w:rFonts w:hint="eastAsia" w:ascii="方正黑体_GBK" w:hAnsi="方正黑体_GBK" w:eastAsia="方正黑体_GBK"/>
          <w:sz w:val="32"/>
          <w:szCs w:val="32"/>
          <w:highlight w:val="none"/>
          <w:lang w:eastAsia="zh-CN"/>
        </w:rPr>
        <w:t>请在项目</w:t>
      </w:r>
      <w:r>
        <w:rPr>
          <w:rFonts w:hint="eastAsia" w:ascii="方正黑体_GBK" w:hAnsi="方正黑体_GBK" w:eastAsia="方正黑体_GBK"/>
          <w:sz w:val="32"/>
          <w:szCs w:val="32"/>
          <w:highlight w:val="none"/>
        </w:rPr>
        <w:t>开工建设前，依据相关法律、行政法规规定办理规划许可、土地使用、资源利用、安全生产、</w:t>
      </w:r>
      <w:r>
        <w:rPr>
          <w:rFonts w:hint="eastAsia" w:ascii="方正黑体_GBK" w:hAnsi="方正黑体_GBK" w:eastAsia="方正黑体_GBK"/>
          <w:sz w:val="32"/>
          <w:szCs w:val="32"/>
          <w:highlight w:val="none"/>
          <w:lang w:eastAsia="zh-CN"/>
        </w:rPr>
        <w:t>质量检验、</w:t>
      </w:r>
      <w:r>
        <w:rPr>
          <w:rFonts w:hint="eastAsia" w:ascii="方正黑体_GBK" w:hAnsi="方正黑体_GBK" w:eastAsia="方正黑体_GBK"/>
          <w:sz w:val="32"/>
          <w:szCs w:val="32"/>
          <w:highlight w:val="none"/>
        </w:rPr>
        <w:t>环评等相关</w:t>
      </w:r>
      <w:r>
        <w:rPr>
          <w:rFonts w:hint="eastAsia" w:ascii="方正黑体_GBK" w:hAnsi="方正黑体_GBK" w:eastAsia="方正黑体_GBK"/>
          <w:sz w:val="32"/>
          <w:szCs w:val="32"/>
          <w:highlight w:val="none"/>
          <w:lang w:eastAsia="zh-CN"/>
        </w:rPr>
        <w:t>报建</w:t>
      </w:r>
      <w:r>
        <w:rPr>
          <w:rFonts w:hint="eastAsia" w:ascii="方正黑体_GBK" w:hAnsi="方正黑体_GBK" w:eastAsia="方正黑体_GBK"/>
          <w:sz w:val="32"/>
          <w:szCs w:val="32"/>
          <w:highlight w:val="none"/>
        </w:rPr>
        <w:t>手续。</w:t>
      </w:r>
    </w:p>
    <w:p>
      <w:pPr>
        <w:keepNext w:val="0"/>
        <w:keepLines w:val="0"/>
        <w:pageBreakBefore w:val="0"/>
        <w:kinsoku/>
        <w:wordWrap/>
        <w:overflowPunct/>
        <w:topLinePunct w:val="0"/>
        <w:autoSpaceDE/>
        <w:autoSpaceDN/>
        <w:bidi w:val="0"/>
        <w:adjustRightInd/>
        <w:snapToGrid/>
        <w:spacing w:line="560" w:lineRule="exact"/>
        <w:ind w:left="0" w:firstLine="705"/>
        <w:textAlignment w:val="top"/>
        <w:rPr>
          <w:rFonts w:hint="eastAsia" w:ascii="方正黑体_GBK" w:hAnsi="方正黑体_GBK" w:eastAsia="方正黑体_GBK"/>
          <w:sz w:val="32"/>
          <w:szCs w:val="32"/>
          <w:highlight w:val="none"/>
        </w:rPr>
      </w:pPr>
      <w:r>
        <w:rPr>
          <w:rFonts w:hint="eastAsia" w:ascii="方正黑体_GBK" w:hAnsi="方正黑体_GBK" w:eastAsia="方正黑体_GBK"/>
          <w:sz w:val="32"/>
          <w:szCs w:val="32"/>
          <w:highlight w:val="none"/>
          <w:lang w:eastAsia="zh-CN"/>
        </w:rPr>
        <w:t>十一</w:t>
      </w:r>
      <w:r>
        <w:rPr>
          <w:rFonts w:hint="eastAsia" w:ascii="方正黑体_GBK" w:hAnsi="方正黑体_GBK" w:eastAsia="方正黑体_GBK"/>
          <w:sz w:val="32"/>
          <w:szCs w:val="32"/>
          <w:highlight w:val="none"/>
        </w:rPr>
        <w:t>、</w:t>
      </w:r>
      <w:r>
        <w:rPr>
          <w:rFonts w:hint="eastAsia" w:ascii="方正黑体_GBK" w:hAnsi="方正黑体_GBK" w:eastAsia="方正黑体_GBK"/>
          <w:sz w:val="32"/>
          <w:szCs w:val="32"/>
          <w:highlight w:val="none"/>
          <w:lang w:eastAsia="zh-CN"/>
        </w:rPr>
        <w:t>项目予以核准决定或者同意变更决定之日起</w:t>
      </w:r>
      <w:r>
        <w:rPr>
          <w:rFonts w:hint="eastAsia" w:ascii="方正黑体_GBK" w:hAnsi="方正黑体_GBK" w:eastAsia="方正黑体_GBK"/>
          <w:sz w:val="32"/>
          <w:szCs w:val="32"/>
          <w:highlight w:val="none"/>
          <w:lang w:val="en-US" w:eastAsia="zh-CN"/>
        </w:rPr>
        <w:t>2年未开工建设，需要延期开工建设的，请你单位在2年期限届满的30个工作日前，向我委申请延期开工建设。开工建设只能延期一次，期限最长不得超过一年。国家对项目延期开工建设另有规定的，依照其规定。在核准文件有效期内未开工建设也未按规定向项目核准机关申请延期，或虽提出延期或变更申请但未获批准的，本核准文件自动失效</w:t>
      </w:r>
      <w:r>
        <w:rPr>
          <w:rFonts w:hint="eastAsia" w:ascii="方正黑体_GBK" w:hAnsi="方正黑体_GBK" w:eastAsia="方正黑体_GBK"/>
          <w:sz w:val="32"/>
          <w:szCs w:val="32"/>
          <w:highlight w:val="none"/>
        </w:rPr>
        <w:t>。</w:t>
      </w:r>
    </w:p>
    <w:p>
      <w:pPr>
        <w:pStyle w:val="6"/>
        <w:keepNext w:val="0"/>
        <w:keepLines w:val="0"/>
        <w:pageBreakBefore w:val="0"/>
        <w:kinsoku/>
        <w:wordWrap/>
        <w:overflowPunct/>
        <w:topLinePunct w:val="0"/>
        <w:autoSpaceDE/>
        <w:autoSpaceDN/>
        <w:bidi w:val="0"/>
        <w:adjustRightInd/>
        <w:snapToGrid/>
        <w:spacing w:after="0" w:afterLines="0" w:line="560" w:lineRule="exact"/>
        <w:ind w:left="0"/>
        <w:textAlignment w:val="top"/>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firstLine="596" w:firstLineChars="200"/>
        <w:textAlignment w:val="top"/>
        <w:outlineLvl w:val="9"/>
        <w:rPr>
          <w:rFonts w:hint="eastAsia" w:ascii="方正仿宋_GBK" w:hAnsi="方正仿宋_GBK" w:eastAsia="方正仿宋_GBK" w:cs="Times New Roman"/>
          <w:color w:val="auto"/>
          <w:spacing w:val="-11"/>
          <w:sz w:val="32"/>
          <w:szCs w:val="32"/>
          <w:highlight w:val="none"/>
          <w:lang w:eastAsia="zh-CN"/>
        </w:rPr>
      </w:pPr>
      <w:r>
        <w:rPr>
          <w:rFonts w:hint="eastAsia" w:ascii="方正仿宋_GBK" w:eastAsia="方正仿宋_GBK"/>
          <w:spacing w:val="-11"/>
          <w:sz w:val="32"/>
          <w:szCs w:val="32"/>
          <w:highlight w:val="none"/>
        </w:rPr>
        <w:t>附件：</w:t>
      </w:r>
      <w:r>
        <w:rPr>
          <w:rFonts w:hint="eastAsia" w:ascii="方正仿宋_GBK" w:hAnsi="方正仿宋_GBK" w:eastAsia="方正仿宋_GBK" w:cs="方正仿宋_GBK"/>
          <w:bCs/>
          <w:color w:val="000000"/>
          <w:sz w:val="32"/>
          <w:szCs w:val="32"/>
          <w:lang w:eastAsia="zh-CN"/>
        </w:rPr>
        <w:t>开金路</w:t>
      </w:r>
      <w:r>
        <w:rPr>
          <w:rFonts w:hint="eastAsia" w:ascii="方正仿宋_GBK" w:hAnsi="方正仿宋_GBK" w:eastAsia="方正仿宋_GBK" w:cs="方正仿宋_GBK"/>
          <w:color w:val="auto"/>
          <w:sz w:val="32"/>
          <w:szCs w:val="32"/>
          <w:lang w:eastAsia="zh-CN"/>
        </w:rPr>
        <w:t>投资</w:t>
      </w:r>
      <w:r>
        <w:rPr>
          <w:rFonts w:hint="eastAsia" w:ascii="方正仿宋_GBK" w:hAnsi="方正仿宋_GBK" w:eastAsia="方正仿宋_GBK" w:cs="方正仿宋_GBK"/>
          <w:spacing w:val="-11"/>
          <w:sz w:val="32"/>
          <w:szCs w:val="32"/>
          <w:highlight w:val="none"/>
          <w:lang w:eastAsia="zh-CN"/>
        </w:rPr>
        <w:t>估</w:t>
      </w:r>
      <w:r>
        <w:rPr>
          <w:rFonts w:hint="eastAsia" w:ascii="方正仿宋_GBK" w:hAnsi="方正仿宋_GBK" w:eastAsia="方正仿宋_GBK" w:cs="方正仿宋_GBK"/>
          <w:color w:val="auto"/>
          <w:spacing w:val="-11"/>
          <w:sz w:val="32"/>
          <w:szCs w:val="32"/>
          <w:highlight w:val="none"/>
          <w:lang w:eastAsia="zh-CN"/>
        </w:rPr>
        <w:t>算表</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top"/>
        <w:rPr>
          <w:rFonts w:hint="eastAsia" w:ascii="方正黑体_GBK" w:hAnsi="方正黑体_GBK" w:eastAsia="方正黑体_GBK"/>
          <w:sz w:val="32"/>
          <w:szCs w:val="32"/>
          <w:highlight w:val="yellow"/>
        </w:rPr>
      </w:pPr>
    </w:p>
    <w:p>
      <w:pPr>
        <w:keepNext w:val="0"/>
        <w:keepLines w:val="0"/>
        <w:pageBreakBefore w:val="0"/>
        <w:kinsoku/>
        <w:wordWrap/>
        <w:overflowPunct/>
        <w:topLinePunct w:val="0"/>
        <w:autoSpaceDE/>
        <w:autoSpaceDN/>
        <w:bidi w:val="0"/>
        <w:adjustRightInd/>
        <w:snapToGrid/>
        <w:spacing w:line="560" w:lineRule="exact"/>
        <w:ind w:left="0" w:firstLine="705"/>
        <w:textAlignment w:val="top"/>
        <w:rPr>
          <w:rFonts w:hint="eastAsia" w:ascii="方正黑体_GBK" w:hAnsi="方正黑体_GBK" w:eastAsia="方正黑体_GBK"/>
          <w:sz w:val="32"/>
          <w:szCs w:val="32"/>
          <w:highlight w:val="yellow"/>
        </w:rPr>
      </w:pPr>
    </w:p>
    <w:p>
      <w:pPr>
        <w:keepNext w:val="0"/>
        <w:keepLines w:val="0"/>
        <w:pageBreakBefore w:val="0"/>
        <w:kinsoku/>
        <w:wordWrap/>
        <w:overflowPunct/>
        <w:topLinePunct w:val="0"/>
        <w:autoSpaceDE/>
        <w:autoSpaceDN/>
        <w:bidi w:val="0"/>
        <w:adjustRightInd/>
        <w:snapToGrid/>
        <w:spacing w:line="560" w:lineRule="exact"/>
        <w:ind w:firstLine="3520" w:firstLineChars="1100"/>
        <w:textAlignment w:val="top"/>
        <w:rPr>
          <w:rFonts w:hint="eastAsia" w:ascii="方正仿宋_GBK" w:eastAsia="方正仿宋_GBK"/>
          <w:sz w:val="32"/>
          <w:szCs w:val="32"/>
          <w:highlight w:val="none"/>
        </w:rPr>
      </w:pPr>
      <w:r>
        <w:rPr>
          <w:rFonts w:hint="eastAsia" w:ascii="方正仿宋_GBK" w:eastAsia="方正仿宋_GBK"/>
          <w:sz w:val="32"/>
          <w:szCs w:val="32"/>
          <w:highlight w:val="none"/>
        </w:rPr>
        <w:t>重庆市巴南区发展和改革委员会</w:t>
      </w:r>
    </w:p>
    <w:p>
      <w:pPr>
        <w:keepNext w:val="0"/>
        <w:keepLines w:val="0"/>
        <w:pageBreakBefore w:val="0"/>
        <w:kinsoku/>
        <w:wordWrap/>
        <w:overflowPunct/>
        <w:topLinePunct w:val="0"/>
        <w:autoSpaceDE/>
        <w:autoSpaceDN/>
        <w:bidi w:val="0"/>
        <w:adjustRightInd/>
        <w:snapToGrid/>
        <w:spacing w:line="560" w:lineRule="exact"/>
        <w:ind w:firstLine="5120" w:firstLineChars="1600"/>
        <w:textAlignment w:val="top"/>
        <w:rPr>
          <w:rFonts w:hint="eastAsia" w:ascii="方正黑体_GBK" w:hAnsi="方正黑体_GBK" w:eastAsia="方正黑体_GBK" w:cs="方正黑体_GBK"/>
          <w:bCs/>
          <w:color w:val="000000"/>
          <w:kern w:val="0"/>
          <w:sz w:val="32"/>
          <w:szCs w:val="32"/>
          <w:lang w:eastAsia="zh-CN"/>
        </w:rPr>
      </w:pPr>
      <w:r>
        <w:rPr>
          <w:rFonts w:hint="eastAsia" w:ascii="方正仿宋_GBK" w:eastAsia="方正仿宋_GBK"/>
          <w:sz w:val="32"/>
          <w:szCs w:val="32"/>
          <w:highlight w:val="none"/>
        </w:rPr>
        <w:t>20</w:t>
      </w:r>
      <w:r>
        <w:rPr>
          <w:rFonts w:hint="eastAsia" w:ascii="方正仿宋_GBK" w:eastAsia="方正仿宋_GBK"/>
          <w:sz w:val="32"/>
          <w:szCs w:val="32"/>
          <w:highlight w:val="none"/>
          <w:lang w:val="en-US" w:eastAsia="zh-CN"/>
        </w:rPr>
        <w:t>25</w:t>
      </w:r>
      <w:r>
        <w:rPr>
          <w:rFonts w:hint="eastAsia" w:ascii="方正仿宋_GBK" w:eastAsia="方正仿宋_GBK"/>
          <w:sz w:val="32"/>
          <w:szCs w:val="32"/>
          <w:highlight w:val="none"/>
        </w:rPr>
        <w:t>年</w:t>
      </w:r>
      <w:r>
        <w:rPr>
          <w:rFonts w:hint="eastAsia" w:ascii="方正仿宋_GBK" w:eastAsia="方正仿宋_GBK"/>
          <w:sz w:val="32"/>
          <w:szCs w:val="32"/>
          <w:highlight w:val="none"/>
          <w:lang w:val="en-US" w:eastAsia="zh-CN"/>
        </w:rPr>
        <w:t>11</w:t>
      </w:r>
      <w:r>
        <w:rPr>
          <w:rFonts w:hint="eastAsia" w:ascii="方正仿宋_GBK" w:eastAsia="方正仿宋_GBK"/>
          <w:sz w:val="32"/>
          <w:szCs w:val="32"/>
          <w:highlight w:val="none"/>
        </w:rPr>
        <w:t>月</w:t>
      </w:r>
      <w:r>
        <w:rPr>
          <w:rFonts w:hint="eastAsia" w:ascii="方正仿宋_GBK" w:eastAsia="方正仿宋_GBK"/>
          <w:sz w:val="32"/>
          <w:szCs w:val="32"/>
          <w:highlight w:val="none"/>
          <w:lang w:val="en-US" w:eastAsia="zh-CN"/>
        </w:rPr>
        <w:t>24</w:t>
      </w:r>
      <w:r>
        <w:rPr>
          <w:rFonts w:hint="eastAsia" w:ascii="方正仿宋_GBK" w:eastAsia="方正仿宋_GBK"/>
          <w:sz w:val="32"/>
          <w:szCs w:val="32"/>
          <w:highlight w:val="none"/>
        </w:rPr>
        <w:t>日</w:t>
      </w:r>
    </w:p>
    <w:p>
      <w:pPr>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方正黑体_GBK" w:hAnsi="方正黑体_GBK" w:eastAsia="方正黑体_GBK" w:cs="方正黑体_GBK"/>
          <w:bCs/>
          <w:color w:val="000000"/>
          <w:kern w:val="0"/>
          <w:sz w:val="32"/>
          <w:szCs w:val="32"/>
          <w:lang w:eastAsia="zh-CN"/>
        </w:rPr>
      </w:pPr>
    </w:p>
    <w:p>
      <w:pPr>
        <w:keepNext w:val="0"/>
        <w:keepLines w:val="0"/>
        <w:pageBreakBefore w:val="0"/>
        <w:kinsoku/>
        <w:wordWrap/>
        <w:overflowPunct/>
        <w:topLinePunct w:val="0"/>
        <w:autoSpaceDE/>
        <w:autoSpaceDN/>
        <w:bidi w:val="0"/>
        <w:adjustRightInd/>
        <w:snapToGrid/>
        <w:spacing w:line="560" w:lineRule="exact"/>
        <w:ind w:left="0" w:leftChars="0" w:firstLine="0" w:firstLineChars="0"/>
        <w:rPr>
          <w:rFonts w:hint="eastAsia" w:ascii="方正黑体_GBK" w:hAnsi="方正黑体_GBK" w:eastAsia="方正黑体_GBK" w:cs="方正黑体_GBK"/>
          <w:bCs/>
          <w:color w:val="000000"/>
          <w:kern w:val="0"/>
          <w:sz w:val="32"/>
          <w:szCs w:val="32"/>
          <w:lang w:eastAsia="zh-CN"/>
        </w:rPr>
      </w:pPr>
    </w:p>
    <w:p>
      <w:pPr>
        <w:pStyle w:val="2"/>
        <w:rPr>
          <w:rFonts w:hint="eastAsia" w:ascii="方正黑体_GBK" w:hAnsi="方正黑体_GBK" w:eastAsia="方正黑体_GBK" w:cs="方正黑体_GBK"/>
          <w:bCs/>
          <w:color w:val="000000"/>
          <w:kern w:val="0"/>
          <w:sz w:val="32"/>
          <w:szCs w:val="32"/>
          <w:lang w:eastAsia="zh-CN"/>
        </w:rPr>
      </w:pPr>
    </w:p>
    <w:p>
      <w:pPr>
        <w:spacing w:line="240" w:lineRule="auto"/>
        <w:ind w:left="0" w:leftChars="0" w:firstLine="0" w:firstLineChars="0"/>
        <w:rPr>
          <w:rFonts w:hint="eastAsia" w:ascii="方正黑体_GBK" w:hAnsi="方正黑体_GBK" w:eastAsia="方正黑体_GBK" w:cs="方正黑体_GBK"/>
          <w:bCs/>
          <w:color w:val="000000"/>
          <w:kern w:val="0"/>
          <w:sz w:val="32"/>
          <w:szCs w:val="32"/>
          <w:lang w:eastAsia="zh-CN"/>
        </w:rPr>
      </w:pPr>
    </w:p>
    <w:p>
      <w:pPr>
        <w:pStyle w:val="2"/>
        <w:rPr>
          <w:rFonts w:hint="eastAsia" w:ascii="方正黑体_GBK" w:hAnsi="方正黑体_GBK" w:eastAsia="方正黑体_GBK" w:cs="方正黑体_GBK"/>
          <w:bCs/>
          <w:color w:val="000000"/>
          <w:kern w:val="0"/>
          <w:sz w:val="32"/>
          <w:szCs w:val="32"/>
          <w:lang w:eastAsia="zh-CN"/>
        </w:rPr>
      </w:pPr>
    </w:p>
    <w:p>
      <w:pPr>
        <w:spacing w:line="240" w:lineRule="auto"/>
        <w:ind w:left="0" w:leftChars="0" w:firstLine="0" w:firstLineChars="0"/>
        <w:rPr>
          <w:rFonts w:hint="eastAsia" w:ascii="方正黑体_GBK" w:hAnsi="方正黑体_GBK" w:eastAsia="方正黑体_GBK" w:cs="方正黑体_GBK"/>
          <w:bCs/>
          <w:color w:val="000000"/>
          <w:kern w:val="0"/>
          <w:sz w:val="32"/>
          <w:szCs w:val="32"/>
          <w:lang w:eastAsia="zh-CN"/>
        </w:rPr>
      </w:pPr>
    </w:p>
    <w:p>
      <w:pPr>
        <w:spacing w:line="240" w:lineRule="auto"/>
        <w:ind w:left="0" w:leftChars="0" w:firstLine="0" w:firstLineChars="0"/>
        <w:rPr>
          <w:rFonts w:hint="eastAsia" w:ascii="方正黑体_GBK" w:hAnsi="方正黑体_GBK" w:eastAsia="方正黑体_GBK" w:cs="方正黑体_GBK"/>
          <w:bCs/>
          <w:color w:val="000000"/>
          <w:kern w:val="0"/>
          <w:sz w:val="32"/>
          <w:szCs w:val="32"/>
          <w:lang w:eastAsia="zh-CN"/>
        </w:rPr>
      </w:pPr>
    </w:p>
    <w:p>
      <w:pPr>
        <w:spacing w:line="240" w:lineRule="auto"/>
        <w:ind w:left="0" w:leftChars="0" w:firstLine="0" w:firstLineChars="0"/>
        <w:rPr>
          <w:rFonts w:hint="eastAsia" w:ascii="方正黑体_GBK" w:hAnsi="方正黑体_GBK" w:eastAsia="方正黑体_GBK" w:cs="方正黑体_GBK"/>
          <w:bCs/>
          <w:color w:val="000000"/>
          <w:kern w:val="0"/>
          <w:sz w:val="32"/>
          <w:szCs w:val="32"/>
          <w:lang w:eastAsia="zh-CN"/>
        </w:rPr>
      </w:pPr>
    </w:p>
    <w:p>
      <w:pPr>
        <w:spacing w:line="240" w:lineRule="auto"/>
        <w:ind w:left="0" w:leftChars="0" w:firstLine="0" w:firstLineChars="0"/>
        <w:rPr>
          <w:rFonts w:hint="eastAsia" w:ascii="方正黑体_GBK" w:hAnsi="方正黑体_GBK" w:eastAsia="方正黑体_GBK" w:cs="方正黑体_GBK"/>
          <w:bCs/>
          <w:color w:val="000000"/>
          <w:kern w:val="0"/>
          <w:sz w:val="32"/>
          <w:szCs w:val="32"/>
          <w:lang w:eastAsia="zh-CN"/>
        </w:rPr>
      </w:pPr>
    </w:p>
    <w:p>
      <w:pPr>
        <w:spacing w:line="240" w:lineRule="auto"/>
        <w:ind w:left="0" w:leftChars="0" w:firstLine="0" w:firstLineChars="0"/>
        <w:rPr>
          <w:rFonts w:hint="eastAsia" w:ascii="方正黑体_GBK" w:hAnsi="方正黑体_GBK" w:eastAsia="方正黑体_GBK" w:cs="方正黑体_GBK"/>
          <w:bCs/>
          <w:color w:val="000000"/>
          <w:kern w:val="0"/>
          <w:sz w:val="32"/>
          <w:szCs w:val="32"/>
          <w:lang w:eastAsia="zh-CN"/>
        </w:rPr>
      </w:pPr>
    </w:p>
    <w:p>
      <w:pPr>
        <w:spacing w:line="240" w:lineRule="auto"/>
        <w:ind w:left="0" w:leftChars="0" w:firstLine="0" w:firstLineChars="0"/>
        <w:rPr>
          <w:rFonts w:hint="eastAsia" w:ascii="方正黑体_GBK" w:hAnsi="方正黑体_GBK" w:eastAsia="方正黑体_GBK" w:cs="方正黑体_GBK"/>
          <w:bCs/>
          <w:color w:val="000000"/>
          <w:kern w:val="0"/>
          <w:sz w:val="32"/>
          <w:szCs w:val="32"/>
          <w:lang w:eastAsia="zh-CN"/>
        </w:rPr>
      </w:pPr>
    </w:p>
    <w:p>
      <w:pPr>
        <w:spacing w:line="240" w:lineRule="auto"/>
        <w:ind w:left="0" w:leftChars="0" w:firstLine="0" w:firstLineChars="0"/>
        <w:rPr>
          <w:rFonts w:hint="eastAsia" w:ascii="方正黑体_GBK" w:hAnsi="方正黑体_GBK" w:eastAsia="方正黑体_GBK" w:cs="方正黑体_GBK"/>
          <w:bCs/>
          <w:color w:val="000000"/>
          <w:kern w:val="0"/>
          <w:sz w:val="32"/>
          <w:szCs w:val="32"/>
          <w:lang w:eastAsia="zh-CN"/>
        </w:rPr>
      </w:pPr>
    </w:p>
    <w:p>
      <w:pPr>
        <w:spacing w:line="240" w:lineRule="auto"/>
        <w:ind w:left="0" w:leftChars="0" w:firstLine="0" w:firstLineChars="0"/>
        <w:rPr>
          <w:rFonts w:hint="eastAsia" w:ascii="方正黑体_GBK" w:hAnsi="方正黑体_GBK" w:eastAsia="方正黑体_GBK" w:cs="方正黑体_GBK"/>
          <w:bCs/>
          <w:color w:val="000000"/>
          <w:kern w:val="0"/>
          <w:sz w:val="32"/>
          <w:szCs w:val="32"/>
          <w:lang w:eastAsia="zh-CN"/>
        </w:rPr>
      </w:pPr>
    </w:p>
    <w:p>
      <w:pPr>
        <w:spacing w:line="240" w:lineRule="auto"/>
        <w:ind w:left="0" w:leftChars="0" w:firstLine="0" w:firstLineChars="0"/>
        <w:rPr>
          <w:rFonts w:hint="eastAsia" w:ascii="方正黑体_GBK" w:hAnsi="方正黑体_GBK" w:eastAsia="方正黑体_GBK" w:cs="方正黑体_GBK"/>
          <w:bCs/>
          <w:color w:val="000000"/>
          <w:kern w:val="0"/>
          <w:sz w:val="32"/>
          <w:szCs w:val="32"/>
          <w:lang w:eastAsia="zh-CN"/>
        </w:rPr>
      </w:pPr>
      <w:r>
        <w:rPr>
          <w:rFonts w:hint="eastAsia" w:ascii="方正黑体_GBK" w:hAnsi="方正黑体_GBK" w:eastAsia="方正黑体_GBK" w:cs="方正黑体_GBK"/>
          <w:bCs/>
          <w:color w:val="000000"/>
          <w:kern w:val="0"/>
          <w:sz w:val="32"/>
          <w:szCs w:val="32"/>
          <w:lang w:eastAsia="zh-CN"/>
        </w:rPr>
        <w:t>附件</w:t>
      </w:r>
    </w:p>
    <w:p>
      <w:pPr>
        <w:pStyle w:val="2"/>
        <w:jc w:val="center"/>
        <w:rPr>
          <w:rFonts w:hint="eastAsia" w:ascii="方正小标宋_GBK" w:hAnsi="方正小标宋_GBK" w:eastAsia="方正小标宋_GBK" w:cs="方正小标宋_GBK"/>
          <w:lang w:val="en-US" w:eastAsia="zh-CN"/>
        </w:rPr>
      </w:pPr>
      <w:r>
        <w:rPr>
          <w:rFonts w:hint="eastAsia" w:ascii="方正小标宋_GBK" w:hAnsi="方正小标宋_GBK" w:eastAsia="方正小标宋_GBK" w:cs="方正小标宋_GBK"/>
          <w:bCs/>
          <w:color w:val="000000"/>
          <w:sz w:val="32"/>
          <w:szCs w:val="32"/>
          <w:lang w:eastAsia="zh-CN"/>
        </w:rPr>
        <w:t>开金路</w:t>
      </w:r>
      <w:r>
        <w:rPr>
          <w:rFonts w:hint="eastAsia" w:ascii="方正小标宋_GBK" w:hAnsi="方正小标宋_GBK" w:eastAsia="方正小标宋_GBK" w:cs="方正小标宋_GBK"/>
          <w:color w:val="auto"/>
          <w:sz w:val="32"/>
          <w:szCs w:val="32"/>
          <w:lang w:eastAsia="zh-CN"/>
        </w:rPr>
        <w:t>投资</w:t>
      </w:r>
      <w:r>
        <w:rPr>
          <w:rFonts w:hint="eastAsia" w:ascii="方正小标宋_GBK" w:hAnsi="方正小标宋_GBK" w:eastAsia="方正小标宋_GBK" w:cs="方正小标宋_GBK"/>
          <w:spacing w:val="-11"/>
          <w:sz w:val="32"/>
          <w:szCs w:val="32"/>
          <w:highlight w:val="none"/>
          <w:lang w:eastAsia="zh-CN"/>
        </w:rPr>
        <w:t>估</w:t>
      </w:r>
      <w:r>
        <w:rPr>
          <w:rFonts w:hint="eastAsia" w:ascii="方正小标宋_GBK" w:hAnsi="方正小标宋_GBK" w:eastAsia="方正小标宋_GBK" w:cs="方正小标宋_GBK"/>
          <w:color w:val="auto"/>
          <w:spacing w:val="-11"/>
          <w:sz w:val="32"/>
          <w:szCs w:val="32"/>
          <w:highlight w:val="none"/>
          <w:lang w:eastAsia="zh-CN"/>
        </w:rPr>
        <w:t>算表</w:t>
      </w:r>
    </w:p>
    <w:tbl>
      <w:tblPr>
        <w:tblStyle w:val="14"/>
        <w:tblW w:w="8886"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7"/>
        <w:gridCol w:w="2999"/>
        <w:gridCol w:w="768"/>
        <w:gridCol w:w="967"/>
        <w:gridCol w:w="1289"/>
        <w:gridCol w:w="1127"/>
        <w:gridCol w:w="7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73" w:hRule="atLeast"/>
          <w:tblHeader/>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bCs/>
                <w:color w:val="auto"/>
                <w:kern w:val="0"/>
                <w:sz w:val="18"/>
                <w:szCs w:val="18"/>
                <w:lang w:val="en-US" w:eastAsia="zh-CN"/>
              </w:rPr>
            </w:pPr>
            <w:r>
              <w:rPr>
                <w:rFonts w:hint="eastAsia" w:ascii="Times New Roman" w:hAnsi="Times New Roman" w:eastAsia="方正仿宋_GB2312" w:cs="Times New Roman"/>
                <w:b/>
                <w:bCs/>
                <w:color w:val="auto"/>
                <w:kern w:val="0"/>
                <w:sz w:val="18"/>
                <w:szCs w:val="18"/>
                <w:lang w:val="en-US" w:eastAsia="zh-CN"/>
              </w:rPr>
              <w:t>序号</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bCs/>
                <w:color w:val="auto"/>
                <w:kern w:val="0"/>
                <w:sz w:val="18"/>
                <w:szCs w:val="18"/>
                <w:lang w:val="en-US" w:eastAsia="zh-CN"/>
              </w:rPr>
            </w:pPr>
            <w:r>
              <w:rPr>
                <w:rFonts w:hint="eastAsia" w:ascii="Times New Roman" w:hAnsi="Times New Roman" w:eastAsia="方正仿宋_GB2312" w:cs="Times New Roman"/>
                <w:b/>
                <w:bCs/>
                <w:color w:val="auto"/>
                <w:kern w:val="0"/>
                <w:sz w:val="18"/>
                <w:szCs w:val="18"/>
                <w:lang w:val="en-US" w:eastAsia="zh-CN"/>
              </w:rPr>
              <w:t>工程项目或费用名称</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bCs/>
                <w:color w:val="auto"/>
                <w:kern w:val="0"/>
                <w:sz w:val="18"/>
                <w:szCs w:val="18"/>
                <w:lang w:val="en-US" w:eastAsia="zh-CN"/>
              </w:rPr>
            </w:pPr>
            <w:r>
              <w:rPr>
                <w:rFonts w:hint="eastAsia" w:ascii="Times New Roman" w:hAnsi="Times New Roman" w:eastAsia="方正仿宋_GB2312" w:cs="Times New Roman"/>
                <w:b/>
                <w:bCs/>
                <w:color w:val="auto"/>
                <w:kern w:val="0"/>
                <w:sz w:val="18"/>
                <w:szCs w:val="18"/>
                <w:lang w:val="en-US" w:eastAsia="zh-CN"/>
              </w:rPr>
              <w:t>单位</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bCs/>
                <w:color w:val="auto"/>
                <w:kern w:val="0"/>
                <w:sz w:val="18"/>
                <w:szCs w:val="18"/>
                <w:lang w:val="en-US" w:eastAsia="zh-CN"/>
              </w:rPr>
            </w:pPr>
            <w:r>
              <w:rPr>
                <w:rFonts w:hint="eastAsia" w:ascii="Times New Roman" w:hAnsi="Times New Roman" w:eastAsia="方正仿宋_GB2312" w:cs="Times New Roman"/>
                <w:b/>
                <w:bCs/>
                <w:color w:val="auto"/>
                <w:kern w:val="0"/>
                <w:sz w:val="18"/>
                <w:szCs w:val="18"/>
                <w:lang w:val="en-US" w:eastAsia="zh-CN"/>
              </w:rPr>
              <w:t>工程量</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bCs/>
                <w:color w:val="auto"/>
                <w:kern w:val="0"/>
                <w:sz w:val="18"/>
                <w:szCs w:val="18"/>
                <w:lang w:val="en-US" w:eastAsia="zh-CN"/>
              </w:rPr>
            </w:pPr>
            <w:r>
              <w:rPr>
                <w:rFonts w:hint="eastAsia" w:ascii="Times New Roman" w:hAnsi="Times New Roman" w:eastAsia="方正仿宋_GB2312" w:cs="Times New Roman"/>
                <w:b/>
                <w:bCs/>
                <w:color w:val="auto"/>
                <w:kern w:val="0"/>
                <w:sz w:val="18"/>
                <w:szCs w:val="18"/>
                <w:lang w:val="en-US" w:eastAsia="zh-CN"/>
              </w:rPr>
              <w:t>综合单价（元）</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bCs/>
                <w:color w:val="auto"/>
                <w:kern w:val="0"/>
                <w:sz w:val="18"/>
                <w:szCs w:val="18"/>
                <w:lang w:val="en-US" w:eastAsia="zh-CN"/>
              </w:rPr>
            </w:pPr>
            <w:r>
              <w:rPr>
                <w:rFonts w:hint="eastAsia" w:ascii="Times New Roman" w:hAnsi="Times New Roman" w:eastAsia="方正仿宋_GB2312" w:cs="Times New Roman"/>
                <w:b/>
                <w:bCs/>
                <w:color w:val="auto"/>
                <w:kern w:val="0"/>
                <w:sz w:val="18"/>
                <w:szCs w:val="18"/>
                <w:lang w:val="en-US" w:eastAsia="zh-CN"/>
              </w:rPr>
              <w:t>总价</w:t>
            </w:r>
            <w:r>
              <w:rPr>
                <w:rFonts w:hint="eastAsia" w:ascii="Times New Roman" w:hAnsi="Times New Roman" w:eastAsia="方正仿宋_GB2312" w:cs="Times New Roman"/>
                <w:b/>
                <w:bCs/>
                <w:color w:val="auto"/>
                <w:kern w:val="0"/>
                <w:sz w:val="18"/>
                <w:szCs w:val="18"/>
                <w:lang w:val="en-US" w:eastAsia="zh-CN"/>
              </w:rPr>
              <w:br w:type="textWrapping"/>
            </w:r>
            <w:r>
              <w:rPr>
                <w:rFonts w:hint="eastAsia" w:ascii="Times New Roman" w:hAnsi="Times New Roman" w:eastAsia="方正仿宋_GB2312" w:cs="Times New Roman"/>
                <w:b/>
                <w:bCs/>
                <w:color w:val="auto"/>
                <w:kern w:val="0"/>
                <w:sz w:val="18"/>
                <w:szCs w:val="18"/>
                <w:lang w:val="en-US" w:eastAsia="zh-CN"/>
              </w:rPr>
              <w:t>（万元）</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bCs/>
                <w:color w:val="auto"/>
                <w:kern w:val="0"/>
                <w:sz w:val="18"/>
                <w:szCs w:val="18"/>
                <w:lang w:val="en-US" w:eastAsia="zh-CN"/>
              </w:rPr>
            </w:pPr>
            <w:r>
              <w:rPr>
                <w:rFonts w:hint="eastAsia" w:ascii="Times New Roman" w:hAnsi="Times New Roman" w:eastAsia="方正仿宋_GB2312" w:cs="Times New Roman"/>
                <w:b/>
                <w:bCs/>
                <w:color w:val="auto"/>
                <w:kern w:val="0"/>
                <w:sz w:val="18"/>
                <w:szCs w:val="18"/>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一</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工程费用</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4839.76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1</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路基土石方工程</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1963.20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1.1</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挖方</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m³</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210000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45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945.00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1.2</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填方</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m³</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113000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18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203.40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1.3</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弃方</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m³</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101850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80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814.80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2</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路面及附属工程</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1141.50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2.1</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车行道</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19000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480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912.00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2.2</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人行道</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6500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270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175.50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2.3</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路缘石等附属工程</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m</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6000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90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54.00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3</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绿化工程</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150.40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3.1</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行道树</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棵</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128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3500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44.80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3.2</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中央分隔带绿化</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1200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280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33.60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3.3</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生物滞留带</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1600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450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72.00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4</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边坡防护</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443.00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4.1</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土工格室护坡（填方段）</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7000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160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112.00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4.2</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TBS生态护坡（挖方段）</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10000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280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280.00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4.3</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截排水沟</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m</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850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600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51.00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5</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附属结构物</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92.24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5.1</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防撞护栏</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m</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360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1200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43.20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5.2</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人行道栏杆</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m</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476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800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38.08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5.3</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防护网</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m</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685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160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10.96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6</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综合管网工程</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955.82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6.1</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排水工程</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m</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1250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3900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487.50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6.2</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电力工程</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m</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624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4300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268.32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6.3</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箱式变压器</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套</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300000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30.00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6.4</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照明灯杆</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套</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50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4000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20.00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6.5</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照明灯具</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套</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100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2500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25.00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6.6</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路灯排管</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m</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1250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1000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125.00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7</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交通工程</w:t>
            </w:r>
          </w:p>
        </w:tc>
        <w:tc>
          <w:tcPr>
            <w:tcW w:w="7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m</w:t>
            </w:r>
          </w:p>
        </w:tc>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624 </w:t>
            </w:r>
          </w:p>
        </w:tc>
        <w:tc>
          <w:tcPr>
            <w:tcW w:w="12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1500 </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 xml:space="preserve">93.60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二</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工程建设其它费用</w:t>
            </w:r>
          </w:p>
        </w:tc>
        <w:tc>
          <w:tcPr>
            <w:tcW w:w="3024" w:type="dxa"/>
            <w:gridSpan w:val="3"/>
            <w:tcBorders>
              <w:top w:val="single" w:color="000000" w:sz="4" w:space="0"/>
              <w:left w:val="single" w:color="000000" w:sz="4" w:space="0"/>
              <w:bottom w:val="single" w:color="000000" w:sz="4" w:space="0"/>
              <w:right w:val="single" w:color="000000" w:sz="4" w:space="0"/>
            </w:tcBorders>
            <w:vAlign w:val="top"/>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5494.33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 </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建设工程用地费</w:t>
            </w:r>
          </w:p>
        </w:tc>
        <w:tc>
          <w:tcPr>
            <w:tcW w:w="3024"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征地面积70亩、70万/亩</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4900.00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2 </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技术咨询服务费</w:t>
            </w:r>
          </w:p>
        </w:tc>
        <w:tc>
          <w:tcPr>
            <w:tcW w:w="3024" w:type="dxa"/>
            <w:gridSpan w:val="3"/>
            <w:tcBorders>
              <w:top w:val="single" w:color="000000" w:sz="4" w:space="0"/>
              <w:left w:val="single" w:color="000000" w:sz="4" w:space="0"/>
              <w:bottom w:val="single" w:color="000000" w:sz="4" w:space="0"/>
              <w:right w:val="single" w:color="000000" w:sz="4" w:space="0"/>
            </w:tcBorders>
            <w:vAlign w:val="top"/>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355.23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2.1</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可行性研究费</w:t>
            </w:r>
          </w:p>
        </w:tc>
        <w:tc>
          <w:tcPr>
            <w:tcW w:w="3024" w:type="dxa"/>
            <w:gridSpan w:val="3"/>
            <w:tcBorders>
              <w:top w:val="single" w:color="000000" w:sz="4" w:space="0"/>
              <w:left w:val="single" w:color="000000" w:sz="4" w:space="0"/>
              <w:bottom w:val="single" w:color="000000" w:sz="4" w:space="0"/>
              <w:right w:val="nil"/>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CQGSBF-JA—2021</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11.34</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2.2</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勘察费</w:t>
            </w:r>
          </w:p>
        </w:tc>
        <w:tc>
          <w:tcPr>
            <w:tcW w:w="3024" w:type="dxa"/>
            <w:gridSpan w:val="3"/>
            <w:tcBorders>
              <w:top w:val="single" w:color="000000" w:sz="4" w:space="0"/>
              <w:left w:val="single" w:color="000000" w:sz="4" w:space="0"/>
              <w:bottom w:val="single" w:color="000000" w:sz="4" w:space="0"/>
              <w:right w:val="nil"/>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CQGSBF-JA—2021</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43.56</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2.3</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设计费</w:t>
            </w:r>
          </w:p>
        </w:tc>
        <w:tc>
          <w:tcPr>
            <w:tcW w:w="3024" w:type="dxa"/>
            <w:gridSpan w:val="3"/>
            <w:tcBorders>
              <w:top w:val="single" w:color="000000" w:sz="4" w:space="0"/>
              <w:left w:val="single" w:color="000000" w:sz="4" w:space="0"/>
              <w:bottom w:val="single" w:color="000000" w:sz="4" w:space="0"/>
              <w:right w:val="nil"/>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CQGSBF-JA—2021</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95.45</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2.4</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施工图审查费</w:t>
            </w:r>
          </w:p>
        </w:tc>
        <w:tc>
          <w:tcPr>
            <w:tcW w:w="3024" w:type="dxa"/>
            <w:gridSpan w:val="3"/>
            <w:tcBorders>
              <w:top w:val="single" w:color="000000" w:sz="4" w:space="0"/>
              <w:left w:val="single" w:color="000000" w:sz="4" w:space="0"/>
              <w:bottom w:val="single" w:color="000000" w:sz="4" w:space="0"/>
              <w:right w:val="nil"/>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CQGSBF-JA—2021</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9.20</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2.5</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招标代理费</w:t>
            </w:r>
          </w:p>
        </w:tc>
        <w:tc>
          <w:tcPr>
            <w:tcW w:w="3024" w:type="dxa"/>
            <w:gridSpan w:val="3"/>
            <w:tcBorders>
              <w:top w:val="single" w:color="000000" w:sz="4" w:space="0"/>
              <w:left w:val="single" w:color="000000" w:sz="4" w:space="0"/>
              <w:bottom w:val="single" w:color="000000" w:sz="4" w:space="0"/>
              <w:right w:val="nil"/>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CQGSBF-JA—2021</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19.99</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2.6</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工程造价咨询服务费</w:t>
            </w:r>
          </w:p>
        </w:tc>
        <w:tc>
          <w:tcPr>
            <w:tcW w:w="3024" w:type="dxa"/>
            <w:gridSpan w:val="3"/>
            <w:tcBorders>
              <w:top w:val="single" w:color="000000" w:sz="4" w:space="0"/>
              <w:left w:val="single" w:color="000000" w:sz="4" w:space="0"/>
              <w:bottom w:val="single" w:color="000000" w:sz="4" w:space="0"/>
              <w:right w:val="nil"/>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CQGSBF-JA—2021</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84.36</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2.7</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工程建设监理费</w:t>
            </w:r>
          </w:p>
        </w:tc>
        <w:tc>
          <w:tcPr>
            <w:tcW w:w="3024" w:type="dxa"/>
            <w:gridSpan w:val="3"/>
            <w:tcBorders>
              <w:top w:val="single" w:color="000000" w:sz="4" w:space="0"/>
              <w:left w:val="single" w:color="000000" w:sz="4" w:space="0"/>
              <w:bottom w:val="single" w:color="000000" w:sz="4" w:space="0"/>
              <w:right w:val="nil"/>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CQGSBF-JA—2021</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83.35</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2.8</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环境影响咨询服务费</w:t>
            </w:r>
          </w:p>
        </w:tc>
        <w:tc>
          <w:tcPr>
            <w:tcW w:w="3024" w:type="dxa"/>
            <w:gridSpan w:val="3"/>
            <w:tcBorders>
              <w:top w:val="single" w:color="000000" w:sz="4" w:space="0"/>
              <w:left w:val="single" w:color="000000" w:sz="4" w:space="0"/>
              <w:bottom w:val="single" w:color="000000" w:sz="4" w:space="0"/>
              <w:right w:val="nil"/>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CQGSBF-JA—2021</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7.98</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3</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工程相关费用</w:t>
            </w:r>
          </w:p>
        </w:tc>
        <w:tc>
          <w:tcPr>
            <w:tcW w:w="3024" w:type="dxa"/>
            <w:gridSpan w:val="3"/>
            <w:tcBorders>
              <w:top w:val="single" w:color="000000" w:sz="4" w:space="0"/>
              <w:left w:val="single" w:color="000000" w:sz="4" w:space="0"/>
              <w:bottom w:val="single" w:color="000000" w:sz="4" w:space="0"/>
              <w:right w:val="single" w:color="000000" w:sz="4" w:space="0"/>
            </w:tcBorders>
            <w:vAlign w:val="top"/>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129.57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3.1</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建设单位管理费</w:t>
            </w:r>
          </w:p>
        </w:tc>
        <w:tc>
          <w:tcPr>
            <w:tcW w:w="3024" w:type="dxa"/>
            <w:gridSpan w:val="3"/>
            <w:tcBorders>
              <w:top w:val="single" w:color="000000" w:sz="4" w:space="0"/>
              <w:left w:val="single" w:color="000000" w:sz="4" w:space="0"/>
              <w:bottom w:val="single" w:color="000000" w:sz="4" w:space="0"/>
              <w:right w:val="nil"/>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财建〔2016〕504号文</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121.34</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3.2</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工程建设招标投标交易服务费</w:t>
            </w:r>
          </w:p>
        </w:tc>
        <w:tc>
          <w:tcPr>
            <w:tcW w:w="3024" w:type="dxa"/>
            <w:gridSpan w:val="3"/>
            <w:tcBorders>
              <w:top w:val="single" w:color="000000" w:sz="4" w:space="0"/>
              <w:left w:val="single" w:color="000000" w:sz="4" w:space="0"/>
              <w:bottom w:val="single" w:color="000000" w:sz="4" w:space="0"/>
              <w:right w:val="nil"/>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渝价[2023]115号</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8.23</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4</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其他费用</w:t>
            </w:r>
          </w:p>
        </w:tc>
        <w:tc>
          <w:tcPr>
            <w:tcW w:w="3024" w:type="dxa"/>
            <w:gridSpan w:val="3"/>
            <w:tcBorders>
              <w:top w:val="single" w:color="000000" w:sz="4" w:space="0"/>
              <w:left w:val="single" w:color="000000" w:sz="4" w:space="0"/>
              <w:bottom w:val="single" w:color="000000" w:sz="4" w:space="0"/>
              <w:right w:val="nil"/>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109.54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4.1</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场地准备及临时设施费</w:t>
            </w:r>
          </w:p>
        </w:tc>
        <w:tc>
          <w:tcPr>
            <w:tcW w:w="3024" w:type="dxa"/>
            <w:gridSpan w:val="3"/>
            <w:tcBorders>
              <w:top w:val="single" w:color="000000" w:sz="4" w:space="0"/>
              <w:left w:val="single" w:color="000000" w:sz="4" w:space="0"/>
              <w:bottom w:val="single" w:color="000000" w:sz="4" w:space="0"/>
              <w:right w:val="nil"/>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CQGSBF-JA—2021</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24.20</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4.2</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工程保险费</w:t>
            </w:r>
          </w:p>
        </w:tc>
        <w:tc>
          <w:tcPr>
            <w:tcW w:w="3024" w:type="dxa"/>
            <w:gridSpan w:val="3"/>
            <w:tcBorders>
              <w:top w:val="single" w:color="000000" w:sz="4" w:space="0"/>
              <w:left w:val="single" w:color="000000" w:sz="4" w:space="0"/>
              <w:bottom w:val="single" w:color="000000" w:sz="4" w:space="0"/>
              <w:right w:val="nil"/>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CQGSBF-JA—2021</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16.94</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4.3</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安全生产保障费</w:t>
            </w:r>
          </w:p>
        </w:tc>
        <w:tc>
          <w:tcPr>
            <w:tcW w:w="3024" w:type="dxa"/>
            <w:gridSpan w:val="3"/>
            <w:tcBorders>
              <w:top w:val="single" w:color="000000" w:sz="4" w:space="0"/>
              <w:left w:val="single" w:color="000000" w:sz="4" w:space="0"/>
              <w:bottom w:val="single" w:color="000000" w:sz="4" w:space="0"/>
              <w:right w:val="nil"/>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CQGSBF-JA—2021</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48.40</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4.4</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智慧化工地费用</w:t>
            </w:r>
          </w:p>
        </w:tc>
        <w:tc>
          <w:tcPr>
            <w:tcW w:w="3024" w:type="dxa"/>
            <w:gridSpan w:val="3"/>
            <w:tcBorders>
              <w:top w:val="single" w:color="000000" w:sz="4" w:space="0"/>
              <w:left w:val="single" w:color="000000" w:sz="4" w:space="0"/>
              <w:bottom w:val="nil"/>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根据项目申请报告暂估</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20.00</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三</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预备费</w:t>
            </w:r>
          </w:p>
        </w:tc>
        <w:tc>
          <w:tcPr>
            <w:tcW w:w="3024" w:type="dxa"/>
            <w:gridSpan w:val="3"/>
            <w:tcBorders>
              <w:top w:val="single" w:color="000000" w:sz="4" w:space="0"/>
              <w:left w:val="single" w:color="000000" w:sz="4" w:space="0"/>
              <w:bottom w:val="single" w:color="000000" w:sz="4" w:space="0"/>
              <w:right w:val="single" w:color="000000" w:sz="4" w:space="0"/>
            </w:tcBorders>
            <w:vAlign w:val="top"/>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434.73</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1</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基本预备费</w:t>
            </w:r>
          </w:p>
        </w:tc>
        <w:tc>
          <w:tcPr>
            <w:tcW w:w="3024" w:type="dxa"/>
            <w:gridSpan w:val="3"/>
            <w:tcBorders>
              <w:top w:val="nil"/>
              <w:left w:val="single" w:color="000000" w:sz="4" w:space="0"/>
              <w:bottom w:val="single" w:color="000000" w:sz="4" w:space="0"/>
              <w:right w:val="single" w:color="000000" w:sz="4" w:space="0"/>
            </w:tcBorders>
            <w:vAlign w:val="top"/>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w:t>
            </w:r>
            <w:r>
              <w:rPr>
                <w:rFonts w:hint="eastAsia" w:ascii="Times New Roman" w:hAnsi="Times New Roman" w:eastAsia="方正仿宋_GB2312" w:cs="Times New Roman"/>
                <w:b w:val="0"/>
                <w:bCs w:val="0"/>
                <w:color w:val="auto"/>
                <w:kern w:val="0"/>
                <w:sz w:val="18"/>
                <w:szCs w:val="18"/>
                <w:lang w:val="en-US" w:eastAsia="zh-CN"/>
              </w:rPr>
              <w:t>一</w:t>
            </w:r>
            <w:r>
              <w:rPr>
                <w:rFonts w:hint="default" w:ascii="Times New Roman" w:hAnsi="Times New Roman" w:eastAsia="方正仿宋_GB2312" w:cs="Times New Roman"/>
                <w:b w:val="0"/>
                <w:bCs w:val="0"/>
                <w:color w:val="auto"/>
                <w:kern w:val="0"/>
                <w:sz w:val="18"/>
                <w:szCs w:val="18"/>
                <w:lang w:val="en-US" w:eastAsia="zh-CN"/>
              </w:rPr>
              <w:t>+</w:t>
            </w:r>
            <w:r>
              <w:rPr>
                <w:rFonts w:hint="eastAsia" w:ascii="Times New Roman" w:hAnsi="Times New Roman" w:eastAsia="方正仿宋_GB2312" w:cs="Times New Roman"/>
                <w:b w:val="0"/>
                <w:bCs w:val="0"/>
                <w:color w:val="auto"/>
                <w:kern w:val="0"/>
                <w:sz w:val="18"/>
                <w:szCs w:val="18"/>
                <w:lang w:val="en-US" w:eastAsia="zh-CN"/>
              </w:rPr>
              <w:t>二</w:t>
            </w:r>
            <w:r>
              <w:rPr>
                <w:rFonts w:hint="default" w:ascii="Times New Roman" w:hAnsi="Times New Roman" w:eastAsia="方正仿宋_GB2312" w:cs="Times New Roman"/>
                <w:b w:val="0"/>
                <w:bCs w:val="0"/>
                <w:color w:val="auto"/>
                <w:kern w:val="0"/>
                <w:sz w:val="18"/>
                <w:szCs w:val="18"/>
                <w:lang w:val="en-US" w:eastAsia="zh-CN"/>
              </w:rPr>
              <w:t>-</w:t>
            </w:r>
            <w:r>
              <w:rPr>
                <w:rFonts w:hint="eastAsia" w:ascii="Times New Roman" w:hAnsi="Times New Roman" w:eastAsia="方正仿宋_GB2312" w:cs="Times New Roman"/>
                <w:b w:val="0"/>
                <w:bCs w:val="0"/>
                <w:color w:val="auto"/>
                <w:kern w:val="0"/>
                <w:sz w:val="18"/>
                <w:szCs w:val="18"/>
                <w:lang w:val="en-US" w:eastAsia="zh-CN"/>
              </w:rPr>
              <w:t>土地费用</w:t>
            </w:r>
            <w:r>
              <w:rPr>
                <w:rFonts w:hint="default" w:ascii="Times New Roman" w:hAnsi="Times New Roman" w:eastAsia="方正仿宋_GB2312" w:cs="Times New Roman"/>
                <w:b w:val="0"/>
                <w:bCs w:val="0"/>
                <w:color w:val="auto"/>
                <w:kern w:val="0"/>
                <w:sz w:val="18"/>
                <w:szCs w:val="18"/>
                <w:lang w:val="en-US" w:eastAsia="zh-CN"/>
              </w:rPr>
              <w:t>)*8%</w:t>
            </w: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434.73</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2</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涨价预备费</w:t>
            </w:r>
          </w:p>
        </w:tc>
        <w:tc>
          <w:tcPr>
            <w:tcW w:w="3024" w:type="dxa"/>
            <w:gridSpan w:val="3"/>
            <w:tcBorders>
              <w:top w:val="single" w:color="000000" w:sz="4" w:space="0"/>
              <w:left w:val="single" w:color="000000" w:sz="4" w:space="0"/>
              <w:bottom w:val="single" w:color="000000" w:sz="4" w:space="0"/>
              <w:right w:val="single" w:color="000000" w:sz="4" w:space="0"/>
            </w:tcBorders>
            <w:vAlign w:val="top"/>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jc w:val="center"/>
        </w:trPr>
        <w:tc>
          <w:tcPr>
            <w:tcW w:w="96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四</w:t>
            </w:r>
          </w:p>
        </w:tc>
        <w:tc>
          <w:tcPr>
            <w:tcW w:w="299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eastAsia" w:ascii="Times New Roman" w:hAnsi="Times New Roman" w:eastAsia="方正仿宋_GB2312" w:cs="Times New Roman"/>
                <w:b w:val="0"/>
                <w:bCs w:val="0"/>
                <w:color w:val="auto"/>
                <w:kern w:val="0"/>
                <w:sz w:val="18"/>
                <w:szCs w:val="18"/>
                <w:lang w:val="en-US" w:eastAsia="zh-CN"/>
              </w:rPr>
              <w:t>总投资合计</w:t>
            </w:r>
          </w:p>
        </w:tc>
        <w:tc>
          <w:tcPr>
            <w:tcW w:w="3024" w:type="dxa"/>
            <w:gridSpan w:val="3"/>
            <w:tcBorders>
              <w:top w:val="single" w:color="000000" w:sz="4" w:space="0"/>
              <w:left w:val="single" w:color="000000" w:sz="4" w:space="0"/>
              <w:bottom w:val="single" w:color="000000" w:sz="4" w:space="0"/>
              <w:right w:val="single" w:color="000000" w:sz="4" w:space="0"/>
            </w:tcBorders>
            <w:vAlign w:val="top"/>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p>
        </w:tc>
        <w:tc>
          <w:tcPr>
            <w:tcW w:w="1127"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default" w:ascii="Times New Roman" w:hAnsi="Times New Roman" w:eastAsia="方正仿宋_GB2312" w:cs="Times New Roman"/>
                <w:b w:val="0"/>
                <w:bCs w:val="0"/>
                <w:color w:val="auto"/>
                <w:kern w:val="0"/>
                <w:sz w:val="18"/>
                <w:szCs w:val="18"/>
                <w:lang w:val="en-US" w:eastAsia="zh-CN"/>
              </w:rPr>
            </w:pPr>
            <w:r>
              <w:rPr>
                <w:rFonts w:hint="default" w:ascii="Times New Roman" w:hAnsi="Times New Roman" w:eastAsia="方正仿宋_GB2312" w:cs="Times New Roman"/>
                <w:b w:val="0"/>
                <w:bCs w:val="0"/>
                <w:color w:val="auto"/>
                <w:kern w:val="0"/>
                <w:sz w:val="18"/>
                <w:szCs w:val="18"/>
                <w:lang w:val="en-US" w:eastAsia="zh-CN"/>
              </w:rPr>
              <w:t xml:space="preserve">10768.82 </w:t>
            </w:r>
          </w:p>
        </w:tc>
        <w:tc>
          <w:tcPr>
            <w:tcW w:w="76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ind w:firstLine="0" w:firstLineChars="0"/>
              <w:jc w:val="center"/>
              <w:rPr>
                <w:rFonts w:hint="eastAsia" w:ascii="Times New Roman" w:hAnsi="Times New Roman" w:eastAsia="方正仿宋_GB2312" w:cs="Times New Roman"/>
                <w:b w:val="0"/>
                <w:bCs w:val="0"/>
                <w:color w:val="auto"/>
                <w:kern w:val="0"/>
                <w:sz w:val="18"/>
                <w:szCs w:val="18"/>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pStyle w:val="2"/>
        <w:rPr>
          <w:rFonts w:hint="eastAsia" w:ascii="方正小标宋简体" w:hAnsi="华文中宋" w:eastAsia="方正小标宋简体"/>
          <w:b/>
          <w:sz w:val="36"/>
        </w:rPr>
      </w:pPr>
    </w:p>
    <w:p>
      <w:pPr>
        <w:pStyle w:val="2"/>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pStyle w:val="2"/>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36"/>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华文中宋" w:eastAsia="方正小标宋简体"/>
          <w:b/>
          <w:sz w:val="21"/>
        </w:rPr>
      </w:pPr>
      <w:r>
        <w:rPr>
          <w:rFonts w:hint="eastAsia" w:ascii="方正小标宋简体" w:hAnsi="华文中宋" w:eastAsia="方正小标宋简体"/>
          <w:b/>
          <w:sz w:val="36"/>
        </w:rPr>
        <w:t xml:space="preserve">   </w:t>
      </w:r>
    </w:p>
    <w:p>
      <w:pPr>
        <w:keepNext w:val="0"/>
        <w:keepLines w:val="0"/>
        <w:pageBreakBefore w:val="0"/>
        <w:pBdr>
          <w:top w:val="single" w:color="auto" w:sz="4" w:space="1"/>
          <w:bottom w:val="single" w:color="auto" w:sz="4" w:space="1"/>
        </w:pBdr>
        <w:kinsoku/>
        <w:wordWrap/>
        <w:overflowPunct/>
        <w:topLinePunct w:val="0"/>
        <w:autoSpaceDE/>
        <w:autoSpaceDN/>
        <w:bidi w:val="0"/>
        <w:adjustRightInd/>
        <w:snapToGrid w:val="0"/>
        <w:spacing w:line="280" w:lineRule="exact"/>
        <w:ind w:right="0" w:rightChars="0" w:firstLine="264" w:firstLineChars="100"/>
        <w:outlineLvl w:val="9"/>
      </w:pPr>
      <w:r>
        <w:rPr>
          <w:rFonts w:eastAsia="方正仿宋_GBK"/>
          <w:spacing w:val="-8"/>
          <w:kern w:val="0"/>
          <w:sz w:val="28"/>
          <w:szCs w:val="28"/>
        </w:rPr>
        <w:t xml:space="preserve">重庆市巴南区发展和改革委员会办公室    </w:t>
      </w:r>
      <w:r>
        <w:rPr>
          <w:rFonts w:hint="eastAsia" w:eastAsia="方正仿宋_GBK"/>
          <w:spacing w:val="-8"/>
          <w:kern w:val="0"/>
          <w:sz w:val="28"/>
          <w:szCs w:val="28"/>
        </w:rPr>
        <w:t xml:space="preserve">  </w:t>
      </w:r>
      <w:r>
        <w:rPr>
          <w:rFonts w:hint="eastAsia" w:eastAsia="方正仿宋_GBK"/>
          <w:kern w:val="0"/>
          <w:sz w:val="30"/>
          <w:szCs w:val="30"/>
          <w:lang w:val="en-US" w:eastAsia="zh-CN"/>
        </w:rPr>
        <w:t xml:space="preserve">  2025年11月24</w:t>
      </w:r>
      <w:r>
        <w:rPr>
          <w:rFonts w:hint="eastAsia" w:ascii="方正仿宋_GBK" w:hAnsi="方正仿宋_GBK" w:eastAsia="方正仿宋_GBK" w:cs="方正仿宋_GBK"/>
          <w:kern w:val="0"/>
          <w:sz w:val="30"/>
          <w:szCs w:val="30"/>
        </w:rPr>
        <w:t>日印发</w:t>
      </w:r>
    </w:p>
    <w:sectPr>
      <w:footerReference r:id="rId3" w:type="default"/>
      <w:pgSz w:w="11906" w:h="16838"/>
      <w:pgMar w:top="2098" w:right="1531" w:bottom="198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0000000000000000000"/>
    <w:charset w:val="00"/>
    <w:family w:val="swiss"/>
    <w:pitch w:val="default"/>
    <w:sig w:usb0="00000000" w:usb1="00000000" w:usb2="00000009" w:usb3="00000000" w:csb0="000001F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Arial Narrow">
    <w:altName w:val="Arial"/>
    <w:panose1 w:val="020B0606020202030204"/>
    <w:charset w:val="00"/>
    <w:family w:val="swiss"/>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F582C"/>
    <w:rsid w:val="0C9C6E43"/>
    <w:rsid w:val="1076639A"/>
    <w:rsid w:val="12F62D18"/>
    <w:rsid w:val="1B881C29"/>
    <w:rsid w:val="28D83049"/>
    <w:rsid w:val="29F21048"/>
    <w:rsid w:val="341950E4"/>
    <w:rsid w:val="370D70CC"/>
    <w:rsid w:val="38B62E2A"/>
    <w:rsid w:val="43B634E8"/>
    <w:rsid w:val="47EB2A7E"/>
    <w:rsid w:val="49F23E17"/>
    <w:rsid w:val="52013492"/>
    <w:rsid w:val="5C0D7711"/>
    <w:rsid w:val="5E2A47B0"/>
    <w:rsid w:val="7A09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宋体" w:eastAsia="宋体" w:cs="Times New Roman"/>
      <w:kern w:val="2"/>
      <w:sz w:val="21"/>
      <w:szCs w:val="21"/>
      <w:lang w:val="en-US" w:eastAsia="zh-CN" w:bidi="ar-SA"/>
    </w:rPr>
  </w:style>
  <w:style w:type="paragraph" w:styleId="5">
    <w:name w:val="heading 3"/>
    <w:basedOn w:val="1"/>
    <w:next w:val="1"/>
    <w:unhideWhenUsed/>
    <w:qFormat/>
    <w:uiPriority w:val="0"/>
    <w:pPr>
      <w:spacing w:before="104" w:beforeLines="0" w:beforeAutospacing="0" w:after="104" w:afterLines="0" w:afterAutospacing="0"/>
      <w:ind w:firstLine="0" w:firstLineChars="0"/>
      <w:outlineLvl w:val="2"/>
    </w:pPr>
    <w:rPr>
      <w:rFonts w:eastAsia="黑体"/>
    </w:rPr>
  </w:style>
  <w:style w:type="character" w:default="1" w:styleId="12">
    <w:name w:val="Default Paragraph Font"/>
    <w:semiHidden/>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Body Text Indent 2"/>
    <w:basedOn w:val="3"/>
    <w:next w:val="4"/>
    <w:uiPriority w:val="0"/>
    <w:pPr>
      <w:spacing w:line="360" w:lineRule="exact"/>
      <w:ind w:firstLine="720"/>
    </w:pPr>
    <w:rPr>
      <w:rFonts w:eastAsia="仿宋_GB2312"/>
      <w:sz w:val="32"/>
    </w:rPr>
  </w:style>
  <w:style w:type="paragraph" w:customStyle="1" w:styleId="3">
    <w:name w:val="正文_0"/>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w:basedOn w:val="1"/>
    <w:next w:val="7"/>
    <w:qFormat/>
    <w:uiPriority w:val="0"/>
    <w:pPr>
      <w:spacing w:line="560" w:lineRule="exact"/>
      <w:ind w:left="0"/>
    </w:pPr>
    <w:rPr>
      <w:rFonts w:ascii="仿宋_GB2312" w:hAnsi="仿宋_GB2312" w:eastAsia="仿宋_GB2312"/>
      <w:kern w:val="2"/>
      <w:sz w:val="32"/>
    </w:rPr>
  </w:style>
  <w:style w:type="paragraph" w:customStyle="1" w:styleId="7">
    <w:name w:val="附件标题-1"/>
    <w:basedOn w:val="1"/>
    <w:next w:val="1"/>
    <w:qFormat/>
    <w:uiPriority w:val="0"/>
    <w:pPr>
      <w:spacing w:beforeLines="50" w:afterLines="50"/>
      <w:jc w:val="center"/>
    </w:pPr>
    <w:rPr>
      <w:rFonts w:eastAsia="黑体"/>
      <w:sz w:val="32"/>
    </w:rPr>
  </w:style>
  <w:style w:type="paragraph" w:styleId="8">
    <w:name w:val="toc 5"/>
    <w:basedOn w:val="1"/>
    <w:next w:val="1"/>
    <w:uiPriority w:val="0"/>
    <w:pPr>
      <w:ind w:left="840"/>
      <w:jc w:val="left"/>
    </w:pPr>
    <w:rPr>
      <w:rFonts w:ascii="Calibri" w:hAnsi="Calibri" w:cs="Calibri"/>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Body Text First Indent 2"/>
    <w:basedOn w:val="1"/>
    <w:next w:val="1"/>
    <w:qFormat/>
    <w:uiPriority w:val="0"/>
    <w:pPr>
      <w:widowControl w:val="0"/>
      <w:spacing w:after="120" w:afterLines="0"/>
      <w:ind w:left="200" w:leftChars="200" w:firstLine="420" w:firstLineChars="200"/>
      <w:jc w:val="both"/>
    </w:pPr>
    <w:rPr>
      <w:rFonts w:ascii="宋体" w:hAnsi="宋体" w:eastAsia="宋体" w:cs="Times New Roman"/>
      <w:kern w:val="2"/>
      <w:sz w:val="21"/>
      <w:szCs w:val="24"/>
      <w:lang w:val="en-US" w:eastAsia="zh-CN" w:bidi="ar-SA"/>
    </w:rPr>
  </w:style>
  <w:style w:type="paragraph" w:styleId="11">
    <w:name w:val="Normal (Web)"/>
    <w:basedOn w:val="1"/>
    <w:qFormat/>
    <w:uiPriority w:val="0"/>
    <w:rPr>
      <w:sz w:val="24"/>
    </w:rPr>
  </w:style>
  <w:style w:type="character" w:styleId="13">
    <w:name w:val="page number"/>
    <w:qFormat/>
    <w:uiPriority w:val="0"/>
  </w:style>
  <w:style w:type="paragraph" w:customStyle="1" w:styleId="15">
    <w:name w:val="正文文本首行缩进1"/>
    <w:basedOn w:val="6"/>
    <w:qFormat/>
    <w:uiPriority w:val="0"/>
    <w:pPr>
      <w:ind w:firstLine="640" w:firstLineChars="200"/>
      <w:jc w:val="left"/>
    </w:pPr>
    <w:rPr>
      <w:rFonts w:ascii="方正仿宋_GBK" w:hAnsi="宋体" w:eastAsia="方正仿宋_GBK"/>
      <w:bCs/>
      <w:color w:val="000000"/>
      <w:sz w:val="32"/>
      <w:szCs w:val="32"/>
    </w:rPr>
  </w:style>
  <w:style w:type="paragraph" w:customStyle="1" w:styleId="16">
    <w:name w:val="默认"/>
    <w:qFormat/>
    <w:uiPriority w:val="0"/>
    <w:rPr>
      <w:rFonts w:ascii="Helvetica" w:hAnsi="Helvetica" w:eastAsia="Helvetica" w:cs="Helvetica"/>
      <w:color w:val="000000"/>
      <w:sz w:val="22"/>
      <w:szCs w:val="22"/>
      <w:lang w:val="en-US" w:eastAsia="zh-CN" w:bidi="ar-SA"/>
    </w:rPr>
  </w:style>
  <w:style w:type="paragraph" w:customStyle="1" w:styleId="17">
    <w:name w:val="目录 83"/>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8">
    <w:name w:val="正文定"/>
    <w:basedOn w:val="1"/>
    <w:qFormat/>
    <w:uiPriority w:val="99"/>
    <w:pPr>
      <w:spacing w:line="360" w:lineRule="auto"/>
      <w:ind w:firstLine="560" w:firstLineChars="200"/>
      <w:jc w:val="left"/>
    </w:pPr>
    <w:rPr>
      <w:rFonts w:ascii="仿宋_GB2312" w:eastAsia="仿宋_GB2312" w:cs="宋体"/>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2025-11-24T07:26:54Z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