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76E2DA">
      <w:pPr>
        <w:spacing w:line="560" w:lineRule="exact"/>
        <w:jc w:val="center"/>
        <w:rPr>
          <w:rFonts w:hint="eastAsia" w:ascii="方正小标宋_GBK" w:hAnsi="微软雅黑" w:eastAsia="方正小标宋_GBK"/>
          <w:color w:val="auto"/>
          <w:sz w:val="45"/>
          <w:szCs w:val="45"/>
          <w:shd w:val="clear" w:color="auto" w:fill="FFFFFF"/>
          <w:lang w:eastAsia="zh-CN"/>
        </w:rPr>
      </w:pPr>
      <w:r>
        <w:rPr>
          <w:rFonts w:hint="eastAsia" w:ascii="方正小标宋_GBK" w:hAnsi="微软雅黑" w:eastAsia="方正小标宋_GBK"/>
          <w:color w:val="auto"/>
          <w:sz w:val="45"/>
          <w:szCs w:val="45"/>
          <w:shd w:val="clear" w:color="auto" w:fill="FFFFFF"/>
        </w:rPr>
        <w:t>重庆市巴南区经济和信息化委员</w:t>
      </w:r>
      <w:r>
        <w:rPr>
          <w:rFonts w:hint="eastAsia" w:ascii="方正小标宋_GBK" w:hAnsi="微软雅黑" w:eastAsia="方正小标宋_GBK"/>
          <w:color w:val="auto"/>
          <w:sz w:val="45"/>
          <w:szCs w:val="45"/>
          <w:shd w:val="clear" w:color="auto" w:fill="FFFFFF"/>
          <w:lang w:eastAsia="zh-CN"/>
        </w:rPr>
        <w:t>会</w:t>
      </w:r>
    </w:p>
    <w:p w14:paraId="6B4FF26D">
      <w:pPr>
        <w:spacing w:line="560" w:lineRule="exact"/>
        <w:jc w:val="center"/>
        <w:rPr>
          <w:rFonts w:hint="eastAsia" w:ascii="方正小标宋_GBK" w:hAnsi="微软雅黑" w:eastAsia="方正小标宋_GBK"/>
          <w:color w:val="auto"/>
          <w:sz w:val="45"/>
          <w:szCs w:val="45"/>
          <w:shd w:val="clear" w:color="auto" w:fill="FFFFFF"/>
        </w:rPr>
      </w:pPr>
      <w:r>
        <w:rPr>
          <w:rFonts w:hint="eastAsia" w:ascii="方正小标宋_GBK" w:hAnsi="微软雅黑" w:eastAsia="方正小标宋_GBK"/>
          <w:color w:val="auto"/>
          <w:sz w:val="45"/>
          <w:szCs w:val="45"/>
          <w:shd w:val="clear" w:color="auto" w:fill="FFFFFF"/>
        </w:rPr>
        <w:t>关于征集管道天然气用户设施安装企业</w:t>
      </w:r>
    </w:p>
    <w:p w14:paraId="7A48779F">
      <w:pPr>
        <w:spacing w:line="560" w:lineRule="exact"/>
        <w:jc w:val="center"/>
        <w:rPr>
          <w:rFonts w:ascii="方正小标宋_GBK" w:hAnsi="微软雅黑" w:eastAsia="方正小标宋_GBK"/>
          <w:color w:val="auto"/>
          <w:sz w:val="45"/>
          <w:szCs w:val="45"/>
          <w:shd w:val="clear" w:color="auto" w:fill="FFFFFF"/>
        </w:rPr>
      </w:pPr>
      <w:r>
        <w:rPr>
          <w:rFonts w:hint="eastAsia" w:ascii="方正小标宋_GBK" w:hAnsi="微软雅黑" w:eastAsia="方正小标宋_GBK"/>
          <w:color w:val="auto"/>
          <w:sz w:val="45"/>
          <w:szCs w:val="45"/>
          <w:shd w:val="clear" w:color="auto" w:fill="FFFFFF"/>
        </w:rPr>
        <w:t>(第</w:t>
      </w:r>
      <w:r>
        <w:rPr>
          <w:rFonts w:hint="eastAsia" w:ascii="方正小标宋_GBK" w:hAnsi="微软雅黑" w:eastAsia="方正小标宋_GBK"/>
          <w:color w:val="auto"/>
          <w:sz w:val="45"/>
          <w:szCs w:val="45"/>
          <w:shd w:val="clear" w:color="auto" w:fill="FFFFFF"/>
          <w:lang w:eastAsia="zh-CN"/>
        </w:rPr>
        <w:t>二</w:t>
      </w:r>
      <w:r>
        <w:rPr>
          <w:rFonts w:hint="eastAsia" w:ascii="方正小标宋_GBK" w:hAnsi="微软雅黑" w:eastAsia="方正小标宋_GBK"/>
          <w:color w:val="auto"/>
          <w:sz w:val="45"/>
          <w:szCs w:val="45"/>
          <w:shd w:val="clear" w:color="auto" w:fill="FFFFFF"/>
        </w:rPr>
        <w:t>批）的通知</w:t>
      </w:r>
    </w:p>
    <w:p w14:paraId="52232224">
      <w:pPr>
        <w:widowControl/>
        <w:shd w:val="clear" w:color="auto" w:fill="auto"/>
        <w:spacing w:line="600" w:lineRule="exact"/>
        <w:jc w:val="left"/>
        <w:rPr>
          <w:rFonts w:ascii="方正仿宋_GBK" w:hAnsi="宋体" w:eastAsia="方正仿宋_GBK" w:cs="宋体"/>
          <w:color w:val="auto"/>
          <w:kern w:val="0"/>
          <w:sz w:val="32"/>
          <w:szCs w:val="32"/>
        </w:rPr>
      </w:pPr>
    </w:p>
    <w:p w14:paraId="1F1B70BF">
      <w:pPr>
        <w:keepNext w:val="0"/>
        <w:keepLines w:val="0"/>
        <w:pageBreakBefore w:val="0"/>
        <w:widowControl/>
        <w:shd w:val="clear" w:color="auto" w:fill="auto"/>
        <w:kinsoku/>
        <w:wordWrap/>
        <w:overflowPunct/>
        <w:topLinePunct w:val="0"/>
        <w:autoSpaceDE/>
        <w:autoSpaceDN/>
        <w:bidi w:val="0"/>
        <w:adjustRightInd/>
        <w:snapToGrid/>
        <w:spacing w:line="580" w:lineRule="exact"/>
        <w:ind w:right="0"/>
        <w:jc w:val="left"/>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各管道天然气用户设施安装企业：</w:t>
      </w:r>
    </w:p>
    <w:p w14:paraId="38D6844C">
      <w:pPr>
        <w:keepNext w:val="0"/>
        <w:keepLines w:val="0"/>
        <w:pageBreakBefore w:val="0"/>
        <w:widowControl/>
        <w:shd w:val="clear" w:color="auto" w:fill="auto"/>
        <w:kinsoku/>
        <w:wordWrap/>
        <w:overflowPunct/>
        <w:topLinePunct w:val="0"/>
        <w:autoSpaceDE/>
        <w:autoSpaceDN/>
        <w:bidi w:val="0"/>
        <w:adjustRightInd/>
        <w:snapToGrid/>
        <w:spacing w:line="580" w:lineRule="exact"/>
        <w:ind w:right="0" w:firstLine="640" w:firstLineChars="200"/>
        <w:jc w:val="both"/>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按照《重庆市天然气管理条例》和《重庆市管道天然气用户设施安装管理规定》（渝经信燃气〔2020〕13号）要求，我委承担辖区内管道天然气用户设施安装业务活动的企业安全监督管理职责。为督促企业落实安全生产主体责任</w:t>
      </w:r>
      <w:r>
        <w:rPr>
          <w:rFonts w:hint="default" w:ascii="Times New Roman" w:hAnsi="Times New Roman" w:eastAsia="方正仿宋_GBK" w:cs="Times New Roman"/>
          <w:color w:val="auto"/>
          <w:kern w:val="0"/>
          <w:sz w:val="32"/>
          <w:szCs w:val="32"/>
          <w:lang w:eastAsia="zh-CN"/>
        </w:rPr>
        <w:t>，</w:t>
      </w:r>
      <w:r>
        <w:rPr>
          <w:rFonts w:hint="default" w:ascii="Times New Roman" w:hAnsi="Times New Roman" w:eastAsia="方正仿宋_GBK" w:cs="Times New Roman"/>
          <w:color w:val="auto"/>
          <w:kern w:val="0"/>
          <w:sz w:val="32"/>
          <w:szCs w:val="32"/>
        </w:rPr>
        <w:t>加强天然气使用及设施安全管理，规范用户设施安装行为和保障用户切身利益，现向社会征集管道天然气用户设施安装单位，建立具有相应资质的安装单位目录清单。请在巴南区辖区范围内开展管道天然气用户设施安装</w:t>
      </w:r>
      <w:r>
        <w:rPr>
          <w:rFonts w:hint="default" w:ascii="Times New Roman" w:hAnsi="Times New Roman" w:eastAsia="方正仿宋_GBK" w:cs="Times New Roman"/>
          <w:color w:val="auto"/>
          <w:kern w:val="0"/>
          <w:sz w:val="32"/>
          <w:szCs w:val="32"/>
          <w:lang w:eastAsia="zh-CN"/>
        </w:rPr>
        <w:t>等业务并自愿纳入目录清单的企业</w:t>
      </w:r>
      <w:r>
        <w:rPr>
          <w:rFonts w:hint="default" w:ascii="Times New Roman" w:hAnsi="Times New Roman" w:eastAsia="方正仿宋_GBK" w:cs="Times New Roman"/>
          <w:color w:val="auto"/>
          <w:kern w:val="0"/>
          <w:sz w:val="32"/>
          <w:szCs w:val="32"/>
        </w:rPr>
        <w:t>，于202</w:t>
      </w:r>
      <w:r>
        <w:rPr>
          <w:rFonts w:hint="default" w:ascii="Times New Roman" w:hAnsi="Times New Roman" w:eastAsia="方正仿宋_GBK" w:cs="Times New Roman"/>
          <w:color w:val="auto"/>
          <w:kern w:val="0"/>
          <w:sz w:val="32"/>
          <w:szCs w:val="32"/>
          <w:lang w:val="en-US" w:eastAsia="zh-CN"/>
        </w:rPr>
        <w:t>6</w:t>
      </w:r>
      <w:r>
        <w:rPr>
          <w:rFonts w:hint="default" w:ascii="Times New Roman" w:hAnsi="Times New Roman" w:eastAsia="方正仿宋_GBK" w:cs="Times New Roman"/>
          <w:color w:val="auto"/>
          <w:kern w:val="0"/>
          <w:sz w:val="32"/>
          <w:szCs w:val="32"/>
        </w:rPr>
        <w:t>年</w:t>
      </w:r>
      <w:r>
        <w:rPr>
          <w:rFonts w:hint="eastAsia" w:ascii="Times New Roman" w:hAnsi="Times New Roman" w:eastAsia="方正仿宋_GBK" w:cs="Times New Roman"/>
          <w:color w:val="auto"/>
          <w:kern w:val="0"/>
          <w:sz w:val="32"/>
          <w:szCs w:val="32"/>
          <w:lang w:val="en-US" w:eastAsia="zh-CN"/>
        </w:rPr>
        <w:t>8</w:t>
      </w:r>
      <w:r>
        <w:rPr>
          <w:rFonts w:hint="default" w:ascii="Times New Roman" w:hAnsi="Times New Roman" w:eastAsia="方正仿宋_GBK" w:cs="Times New Roman"/>
          <w:color w:val="auto"/>
          <w:kern w:val="0"/>
          <w:sz w:val="32"/>
          <w:szCs w:val="32"/>
        </w:rPr>
        <w:t>月</w:t>
      </w:r>
      <w:r>
        <w:rPr>
          <w:rFonts w:hint="eastAsia" w:ascii="Times New Roman" w:hAnsi="Times New Roman" w:eastAsia="方正仿宋_GBK" w:cs="Times New Roman"/>
          <w:color w:val="auto"/>
          <w:kern w:val="0"/>
          <w:sz w:val="32"/>
          <w:szCs w:val="32"/>
          <w:lang w:val="en-US" w:eastAsia="zh-CN"/>
        </w:rPr>
        <w:t>9</w:t>
      </w:r>
      <w:r>
        <w:rPr>
          <w:rFonts w:hint="default" w:ascii="Times New Roman" w:hAnsi="Times New Roman" w:eastAsia="方正仿宋_GBK" w:cs="Times New Roman"/>
          <w:color w:val="auto"/>
          <w:kern w:val="0"/>
          <w:sz w:val="32"/>
          <w:szCs w:val="32"/>
        </w:rPr>
        <w:t>日前到区经信委进行登记备查，登记内容包括安装单位基本情况、业务范围、服务承诺等信息。</w:t>
      </w:r>
    </w:p>
    <w:p w14:paraId="7B42577E">
      <w:pPr>
        <w:keepNext w:val="0"/>
        <w:keepLines w:val="0"/>
        <w:pageBreakBefore w:val="0"/>
        <w:widowControl/>
        <w:shd w:val="clear" w:color="auto" w:fill="auto"/>
        <w:kinsoku/>
        <w:wordWrap/>
        <w:overflowPunct/>
        <w:topLinePunct w:val="0"/>
        <w:autoSpaceDE/>
        <w:autoSpaceDN/>
        <w:bidi w:val="0"/>
        <w:adjustRightInd/>
        <w:snapToGrid/>
        <w:spacing w:line="580" w:lineRule="exact"/>
        <w:ind w:right="0" w:firstLine="640" w:firstLineChars="200"/>
        <w:jc w:val="left"/>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管道天然气安装单位应符合以下条件：</w:t>
      </w:r>
    </w:p>
    <w:p w14:paraId="26B9CB81">
      <w:pPr>
        <w:keepNext w:val="0"/>
        <w:keepLines w:val="0"/>
        <w:pageBreakBefore w:val="0"/>
        <w:widowControl/>
        <w:shd w:val="clear" w:color="auto" w:fill="auto"/>
        <w:kinsoku/>
        <w:wordWrap/>
        <w:overflowPunct/>
        <w:topLinePunct w:val="0"/>
        <w:autoSpaceDE/>
        <w:autoSpaceDN/>
        <w:bidi w:val="0"/>
        <w:adjustRightInd/>
        <w:snapToGrid/>
        <w:spacing w:line="580" w:lineRule="exact"/>
        <w:ind w:right="0" w:firstLine="640" w:firstLineChars="200"/>
        <w:jc w:val="left"/>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（一）有独立承担民事责任能力；</w:t>
      </w:r>
    </w:p>
    <w:p w14:paraId="6DF29F48">
      <w:pPr>
        <w:keepNext w:val="0"/>
        <w:keepLines w:val="0"/>
        <w:pageBreakBefore w:val="0"/>
        <w:widowControl/>
        <w:shd w:val="clear" w:color="auto" w:fill="auto"/>
        <w:kinsoku/>
        <w:wordWrap/>
        <w:overflowPunct/>
        <w:topLinePunct w:val="0"/>
        <w:autoSpaceDE/>
        <w:autoSpaceDN/>
        <w:bidi w:val="0"/>
        <w:adjustRightInd/>
        <w:snapToGrid/>
        <w:spacing w:line="580" w:lineRule="exact"/>
        <w:ind w:right="0" w:firstLine="640" w:firstLineChars="200"/>
        <w:jc w:val="left"/>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（二）有从事相关业务的资质证书；</w:t>
      </w:r>
    </w:p>
    <w:p w14:paraId="4EE566AB">
      <w:pPr>
        <w:keepNext w:val="0"/>
        <w:keepLines w:val="0"/>
        <w:pageBreakBefore w:val="0"/>
        <w:widowControl/>
        <w:shd w:val="clear" w:color="auto" w:fill="auto"/>
        <w:kinsoku/>
        <w:wordWrap/>
        <w:overflowPunct/>
        <w:topLinePunct w:val="0"/>
        <w:autoSpaceDE/>
        <w:autoSpaceDN/>
        <w:bidi w:val="0"/>
        <w:adjustRightInd/>
        <w:snapToGrid/>
        <w:spacing w:line="580" w:lineRule="exact"/>
        <w:ind w:right="0" w:firstLine="640" w:firstLineChars="200"/>
        <w:jc w:val="left"/>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（三）有健全的企业管理制度和质量保证体系；</w:t>
      </w:r>
    </w:p>
    <w:p w14:paraId="5D377783">
      <w:pPr>
        <w:keepNext w:val="0"/>
        <w:keepLines w:val="0"/>
        <w:pageBreakBefore w:val="0"/>
        <w:widowControl/>
        <w:shd w:val="clear" w:color="auto" w:fill="auto"/>
        <w:kinsoku/>
        <w:wordWrap/>
        <w:overflowPunct/>
        <w:topLinePunct w:val="0"/>
        <w:autoSpaceDE/>
        <w:autoSpaceDN/>
        <w:bidi w:val="0"/>
        <w:adjustRightInd/>
        <w:snapToGrid/>
        <w:spacing w:line="580" w:lineRule="exact"/>
        <w:ind w:right="0" w:firstLine="640" w:firstLineChars="200"/>
        <w:jc w:val="left"/>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（四）有从事相关业务的设备机具和专业技术能力；</w:t>
      </w:r>
    </w:p>
    <w:p w14:paraId="0EB2C1BD">
      <w:pPr>
        <w:keepNext w:val="0"/>
        <w:keepLines w:val="0"/>
        <w:pageBreakBefore w:val="0"/>
        <w:widowControl/>
        <w:shd w:val="clear" w:color="auto" w:fill="auto"/>
        <w:kinsoku/>
        <w:wordWrap/>
        <w:overflowPunct/>
        <w:topLinePunct w:val="0"/>
        <w:autoSpaceDE/>
        <w:autoSpaceDN/>
        <w:bidi w:val="0"/>
        <w:adjustRightInd/>
        <w:snapToGrid/>
        <w:spacing w:line="580" w:lineRule="exact"/>
        <w:ind w:right="0" w:firstLine="640" w:firstLineChars="200"/>
        <w:jc w:val="left"/>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（五）信用良好，未被纳入严重违法失信企业名单；</w:t>
      </w:r>
    </w:p>
    <w:p w14:paraId="048D268D">
      <w:pPr>
        <w:keepNext w:val="0"/>
        <w:keepLines w:val="0"/>
        <w:pageBreakBefore w:val="0"/>
        <w:widowControl/>
        <w:shd w:val="clear" w:color="auto" w:fill="auto"/>
        <w:kinsoku/>
        <w:wordWrap/>
        <w:overflowPunct/>
        <w:topLinePunct w:val="0"/>
        <w:autoSpaceDE/>
        <w:autoSpaceDN/>
        <w:bidi w:val="0"/>
        <w:adjustRightInd/>
        <w:snapToGrid/>
        <w:spacing w:line="580" w:lineRule="exact"/>
        <w:ind w:right="0" w:firstLine="640" w:firstLineChars="200"/>
        <w:jc w:val="left"/>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（六）近三年未发生过生产安全事故或工程质量事故；</w:t>
      </w:r>
    </w:p>
    <w:p w14:paraId="040DCFC4">
      <w:pPr>
        <w:keepNext w:val="0"/>
        <w:keepLines w:val="0"/>
        <w:pageBreakBefore w:val="0"/>
        <w:widowControl/>
        <w:shd w:val="clear" w:color="auto" w:fill="auto"/>
        <w:kinsoku/>
        <w:wordWrap/>
        <w:overflowPunct/>
        <w:topLinePunct w:val="0"/>
        <w:autoSpaceDE/>
        <w:autoSpaceDN/>
        <w:bidi w:val="0"/>
        <w:adjustRightInd/>
        <w:snapToGrid/>
        <w:spacing w:line="580" w:lineRule="exact"/>
        <w:ind w:right="0" w:firstLine="640" w:firstLineChars="200"/>
        <w:jc w:val="left"/>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（七）法律法规规定应当具备的其他条件。</w:t>
      </w:r>
    </w:p>
    <w:p w14:paraId="4D8EE143">
      <w:pPr>
        <w:keepNext w:val="0"/>
        <w:keepLines w:val="0"/>
        <w:pageBreakBefore w:val="0"/>
        <w:widowControl/>
        <w:shd w:val="clear" w:color="auto" w:fill="auto"/>
        <w:kinsoku/>
        <w:wordWrap/>
        <w:overflowPunct/>
        <w:topLinePunct w:val="0"/>
        <w:autoSpaceDE/>
        <w:autoSpaceDN/>
        <w:bidi w:val="0"/>
        <w:adjustRightInd/>
        <w:snapToGrid/>
        <w:spacing w:line="580" w:lineRule="exact"/>
        <w:ind w:right="0" w:firstLine="640" w:firstLineChars="200"/>
        <w:jc w:val="left"/>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lang w:eastAsia="zh-CN"/>
        </w:rPr>
        <w:t>资料</w:t>
      </w:r>
      <w:r>
        <w:rPr>
          <w:rFonts w:hint="default" w:ascii="Times New Roman" w:hAnsi="Times New Roman" w:eastAsia="方正仿宋_GBK" w:cs="Times New Roman"/>
          <w:color w:val="auto"/>
          <w:kern w:val="0"/>
          <w:sz w:val="32"/>
          <w:szCs w:val="32"/>
        </w:rPr>
        <w:t>纸质件（盖章）</w:t>
      </w:r>
      <w:r>
        <w:rPr>
          <w:rFonts w:hint="default" w:ascii="Times New Roman" w:hAnsi="Times New Roman" w:eastAsia="方正仿宋_GBK" w:cs="Times New Roman"/>
          <w:color w:val="auto"/>
          <w:kern w:val="0"/>
          <w:sz w:val="32"/>
          <w:szCs w:val="32"/>
          <w:lang w:eastAsia="zh-CN"/>
        </w:rPr>
        <w:t>、</w:t>
      </w:r>
      <w:r>
        <w:rPr>
          <w:rFonts w:hint="default" w:ascii="Times New Roman" w:hAnsi="Times New Roman" w:eastAsia="方正仿宋_GBK" w:cs="Times New Roman"/>
          <w:color w:val="auto"/>
          <w:kern w:val="0"/>
          <w:sz w:val="32"/>
          <w:szCs w:val="32"/>
        </w:rPr>
        <w:t>电子档报送至巴南区政府行政办公楼14</w:t>
      </w:r>
      <w:r>
        <w:rPr>
          <w:rFonts w:hint="default" w:ascii="Times New Roman" w:hAnsi="Times New Roman" w:eastAsia="方正仿宋_GBK" w:cs="Times New Roman"/>
          <w:color w:val="auto"/>
          <w:kern w:val="0"/>
          <w:sz w:val="32"/>
          <w:szCs w:val="32"/>
          <w:lang w:val="en-US" w:eastAsia="zh-CN"/>
        </w:rPr>
        <w:t>28</w:t>
      </w:r>
      <w:r>
        <w:rPr>
          <w:rFonts w:hint="default" w:ascii="Times New Roman" w:hAnsi="Times New Roman" w:eastAsia="方正仿宋_GBK" w:cs="Times New Roman"/>
          <w:color w:val="auto"/>
          <w:kern w:val="0"/>
          <w:sz w:val="32"/>
          <w:szCs w:val="32"/>
        </w:rPr>
        <w:t>办公室</w:t>
      </w:r>
      <w:r>
        <w:rPr>
          <w:rFonts w:hint="default" w:ascii="Times New Roman" w:hAnsi="Times New Roman" w:eastAsia="方正仿宋_GBK" w:cs="Times New Roman"/>
          <w:color w:val="auto"/>
          <w:kern w:val="0"/>
          <w:sz w:val="32"/>
          <w:szCs w:val="32"/>
          <w:lang w:eastAsia="zh-CN"/>
        </w:rPr>
        <w:t>。</w:t>
      </w:r>
    </w:p>
    <w:p w14:paraId="77A70887">
      <w:pPr>
        <w:keepNext w:val="0"/>
        <w:keepLines w:val="0"/>
        <w:pageBreakBefore w:val="0"/>
        <w:widowControl/>
        <w:shd w:val="clear" w:color="auto" w:fill="auto"/>
        <w:kinsoku/>
        <w:wordWrap/>
        <w:overflowPunct/>
        <w:topLinePunct w:val="0"/>
        <w:autoSpaceDE/>
        <w:autoSpaceDN/>
        <w:bidi w:val="0"/>
        <w:adjustRightInd/>
        <w:snapToGrid/>
        <w:spacing w:line="580" w:lineRule="exact"/>
        <w:ind w:right="0" w:firstLine="640" w:firstLineChars="200"/>
        <w:jc w:val="left"/>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联系方式：</w:t>
      </w:r>
      <w:r>
        <w:rPr>
          <w:rFonts w:hint="default" w:ascii="Times New Roman" w:hAnsi="Times New Roman" w:eastAsia="方正仿宋_GBK" w:cs="Times New Roman"/>
          <w:color w:val="auto"/>
          <w:kern w:val="0"/>
          <w:sz w:val="32"/>
          <w:szCs w:val="32"/>
          <w:lang w:eastAsia="zh-CN"/>
        </w:rPr>
        <w:t>巴南</w:t>
      </w:r>
      <w:r>
        <w:rPr>
          <w:rFonts w:hint="default" w:ascii="Times New Roman" w:hAnsi="Times New Roman" w:eastAsia="方正仿宋_GBK" w:cs="Times New Roman"/>
          <w:color w:val="auto"/>
          <w:kern w:val="0"/>
          <w:sz w:val="32"/>
          <w:szCs w:val="32"/>
        </w:rPr>
        <w:t>区经信委能源保障科</w:t>
      </w:r>
      <w:r>
        <w:rPr>
          <w:rFonts w:hint="default" w:ascii="Times New Roman" w:hAnsi="Times New Roman" w:eastAsia="方正仿宋_GBK" w:cs="Times New Roman"/>
          <w:color w:val="auto"/>
          <w:kern w:val="0"/>
          <w:sz w:val="32"/>
          <w:szCs w:val="32"/>
          <w:lang w:val="en-US" w:eastAsia="zh-CN"/>
        </w:rPr>
        <w:t>13883360883</w:t>
      </w:r>
      <w:r>
        <w:rPr>
          <w:rFonts w:hint="default" w:ascii="Times New Roman" w:hAnsi="Times New Roman" w:eastAsia="方正仿宋_GBK" w:cs="Times New Roman"/>
          <w:color w:val="auto"/>
          <w:kern w:val="0"/>
          <w:sz w:val="32"/>
          <w:szCs w:val="32"/>
        </w:rPr>
        <w:t>。</w:t>
      </w:r>
    </w:p>
    <w:p w14:paraId="6608AEF7">
      <w:pPr>
        <w:keepNext w:val="0"/>
        <w:keepLines w:val="0"/>
        <w:pageBreakBefore w:val="0"/>
        <w:widowControl/>
        <w:shd w:val="clear" w:color="auto" w:fill="auto"/>
        <w:kinsoku/>
        <w:wordWrap/>
        <w:overflowPunct/>
        <w:topLinePunct w:val="0"/>
        <w:autoSpaceDE/>
        <w:autoSpaceDN/>
        <w:bidi w:val="0"/>
        <w:adjustRightInd/>
        <w:snapToGrid/>
        <w:spacing w:line="580" w:lineRule="exact"/>
        <w:ind w:right="0" w:firstLine="640" w:firstLineChars="200"/>
        <w:jc w:val="left"/>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lang w:val="en-US" w:eastAsia="zh-CN"/>
        </w:rPr>
        <w:t xml:space="preserve">  </w:t>
      </w:r>
    </w:p>
    <w:p w14:paraId="40F3F659">
      <w:pPr>
        <w:keepNext w:val="0"/>
        <w:keepLines w:val="0"/>
        <w:pageBreakBefore w:val="0"/>
        <w:widowControl/>
        <w:shd w:val="clear" w:color="auto" w:fill="auto"/>
        <w:kinsoku/>
        <w:wordWrap/>
        <w:overflowPunct/>
        <w:topLinePunct w:val="0"/>
        <w:autoSpaceDE/>
        <w:autoSpaceDN/>
        <w:bidi w:val="0"/>
        <w:adjustRightInd/>
        <w:snapToGrid/>
        <w:spacing w:line="580" w:lineRule="exact"/>
        <w:ind w:right="0" w:firstLine="640" w:firstLineChars="200"/>
        <w:jc w:val="left"/>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附件：1.巴南区管道天然气用户设施安装企业登记表</w:t>
      </w:r>
    </w:p>
    <w:p w14:paraId="2D961818">
      <w:pPr>
        <w:keepNext w:val="0"/>
        <w:keepLines w:val="0"/>
        <w:pageBreakBefore w:val="0"/>
        <w:widowControl/>
        <w:shd w:val="clear" w:color="auto" w:fill="auto"/>
        <w:kinsoku/>
        <w:wordWrap/>
        <w:overflowPunct/>
        <w:topLinePunct w:val="0"/>
        <w:autoSpaceDE/>
        <w:autoSpaceDN/>
        <w:bidi w:val="0"/>
        <w:adjustRightInd/>
        <w:snapToGrid/>
        <w:spacing w:line="580" w:lineRule="exact"/>
        <w:ind w:right="0" w:firstLine="1600" w:firstLineChars="500"/>
        <w:jc w:val="left"/>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2.</w:t>
      </w:r>
      <w:r>
        <w:rPr>
          <w:rFonts w:hint="default" w:ascii="Times New Roman" w:hAnsi="Times New Roman" w:eastAsia="方正仿宋_GBK" w:cs="Times New Roman"/>
          <w:color w:val="auto"/>
          <w:sz w:val="32"/>
          <w:szCs w:val="32"/>
        </w:rPr>
        <w:t>相关情况说明</w:t>
      </w:r>
    </w:p>
    <w:p w14:paraId="65220F4A">
      <w:pPr>
        <w:keepNext w:val="0"/>
        <w:keepLines w:val="0"/>
        <w:pageBreakBefore w:val="0"/>
        <w:widowControl/>
        <w:shd w:val="clear" w:color="auto" w:fill="auto"/>
        <w:kinsoku/>
        <w:wordWrap/>
        <w:overflowPunct/>
        <w:topLinePunct w:val="0"/>
        <w:autoSpaceDE/>
        <w:autoSpaceDN/>
        <w:bidi w:val="0"/>
        <w:adjustRightInd/>
        <w:snapToGrid/>
        <w:spacing w:line="580" w:lineRule="exact"/>
        <w:ind w:left="1918" w:leftChars="304" w:right="0" w:hanging="1280" w:hangingChars="400"/>
        <w:jc w:val="left"/>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 xml:space="preserve">      3.重庆市经济和信息化委员会关于印发《重庆市管道天然气用户设施安装管理规定》的通知（渝经信燃气〔2020〕13号）</w:t>
      </w:r>
    </w:p>
    <w:p w14:paraId="181726BA">
      <w:pPr>
        <w:keepNext w:val="0"/>
        <w:keepLines w:val="0"/>
        <w:pageBreakBefore w:val="0"/>
        <w:widowControl/>
        <w:shd w:val="clear" w:color="auto" w:fill="auto"/>
        <w:kinsoku/>
        <w:wordWrap/>
        <w:overflowPunct/>
        <w:topLinePunct w:val="0"/>
        <w:autoSpaceDE/>
        <w:autoSpaceDN/>
        <w:bidi w:val="0"/>
        <w:adjustRightInd/>
        <w:snapToGrid/>
        <w:spacing w:line="580" w:lineRule="exact"/>
        <w:ind w:right="0" w:firstLine="640" w:firstLineChars="200"/>
        <w:jc w:val="left"/>
        <w:textAlignment w:val="auto"/>
        <w:rPr>
          <w:rFonts w:hint="default" w:ascii="Times New Roman" w:hAnsi="Times New Roman" w:eastAsia="方正仿宋_GBK" w:cs="Times New Roman"/>
          <w:color w:val="auto"/>
          <w:kern w:val="0"/>
          <w:sz w:val="32"/>
          <w:szCs w:val="32"/>
        </w:rPr>
      </w:pPr>
    </w:p>
    <w:p w14:paraId="670B6A9D">
      <w:pPr>
        <w:keepNext w:val="0"/>
        <w:keepLines w:val="0"/>
        <w:pageBreakBefore w:val="0"/>
        <w:widowControl/>
        <w:shd w:val="clear" w:color="auto" w:fill="auto"/>
        <w:kinsoku/>
        <w:wordWrap/>
        <w:overflowPunct/>
        <w:topLinePunct w:val="0"/>
        <w:autoSpaceDE/>
        <w:autoSpaceDN/>
        <w:bidi w:val="0"/>
        <w:adjustRightInd/>
        <w:snapToGrid/>
        <w:spacing w:line="580" w:lineRule="exact"/>
        <w:ind w:right="0" w:firstLine="640" w:firstLineChars="200"/>
        <w:jc w:val="right"/>
        <w:textAlignment w:val="auto"/>
        <w:rPr>
          <w:rFonts w:hint="default" w:ascii="Times New Roman" w:hAnsi="Times New Roman" w:eastAsia="方正仿宋_GBK" w:cs="Times New Roman"/>
          <w:color w:val="auto"/>
          <w:kern w:val="0"/>
          <w:sz w:val="32"/>
          <w:szCs w:val="32"/>
          <w:lang w:eastAsia="zh-CN"/>
        </w:rPr>
      </w:pPr>
      <w:r>
        <w:rPr>
          <w:rFonts w:hint="default" w:ascii="Times New Roman" w:hAnsi="Times New Roman" w:eastAsia="方正仿宋_GBK" w:cs="Times New Roman"/>
          <w:color w:val="auto"/>
          <w:kern w:val="0"/>
          <w:sz w:val="32"/>
          <w:szCs w:val="32"/>
        </w:rPr>
        <w:t>       重庆市巴南区经济和信息化委员</w:t>
      </w:r>
      <w:r>
        <w:rPr>
          <w:rFonts w:hint="default" w:ascii="Times New Roman" w:hAnsi="Times New Roman" w:eastAsia="方正仿宋_GBK" w:cs="Times New Roman"/>
          <w:color w:val="auto"/>
          <w:kern w:val="0"/>
          <w:sz w:val="32"/>
          <w:szCs w:val="32"/>
          <w:lang w:eastAsia="zh-CN"/>
        </w:rPr>
        <w:t>会</w:t>
      </w:r>
    </w:p>
    <w:p w14:paraId="2B28F8BC">
      <w:pPr>
        <w:keepNext w:val="0"/>
        <w:keepLines w:val="0"/>
        <w:pageBreakBefore w:val="0"/>
        <w:widowControl/>
        <w:shd w:val="clear" w:color="auto" w:fill="auto"/>
        <w:kinsoku/>
        <w:wordWrap/>
        <w:overflowPunct/>
        <w:topLinePunct w:val="0"/>
        <w:autoSpaceDE/>
        <w:autoSpaceDN/>
        <w:bidi w:val="0"/>
        <w:adjustRightInd/>
        <w:snapToGrid/>
        <w:spacing w:line="580" w:lineRule="exact"/>
        <w:ind w:right="0" w:firstLine="640" w:firstLineChars="200"/>
        <w:jc w:val="center"/>
        <w:textAlignment w:val="auto"/>
        <w:rPr>
          <w:rFonts w:hint="default" w:ascii="Times New Roman" w:hAnsi="Times New Roman" w:eastAsia="宋体" w:cs="Times New Roman"/>
          <w:color w:val="333333"/>
          <w:kern w:val="0"/>
          <w:sz w:val="32"/>
          <w:szCs w:val="32"/>
        </w:rPr>
      </w:pPr>
      <w:r>
        <w:rPr>
          <w:rFonts w:hint="default" w:ascii="Times New Roman" w:hAnsi="Times New Roman" w:eastAsia="方正仿宋_GBK" w:cs="Times New Roman"/>
          <w:color w:val="auto"/>
          <w:kern w:val="0"/>
          <w:sz w:val="32"/>
          <w:szCs w:val="32"/>
        </w:rPr>
        <w:t xml:space="preserve">                        202</w:t>
      </w:r>
      <w:r>
        <w:rPr>
          <w:rFonts w:hint="default" w:ascii="Times New Roman" w:hAnsi="Times New Roman" w:eastAsia="方正仿宋_GBK" w:cs="Times New Roman"/>
          <w:color w:val="auto"/>
          <w:kern w:val="0"/>
          <w:sz w:val="32"/>
          <w:szCs w:val="32"/>
          <w:lang w:val="en-US" w:eastAsia="zh-CN"/>
        </w:rPr>
        <w:t>6</w:t>
      </w:r>
      <w:r>
        <w:rPr>
          <w:rFonts w:hint="default" w:ascii="Times New Roman" w:hAnsi="Times New Roman" w:eastAsia="方正仿宋_GBK" w:cs="Times New Roman"/>
          <w:color w:val="auto"/>
          <w:kern w:val="0"/>
          <w:sz w:val="32"/>
          <w:szCs w:val="32"/>
        </w:rPr>
        <w:t>年</w:t>
      </w:r>
      <w:r>
        <w:rPr>
          <w:rFonts w:hint="eastAsia" w:ascii="Times New Roman" w:hAnsi="Times New Roman" w:eastAsia="方正仿宋_GBK" w:cs="Times New Roman"/>
          <w:color w:val="auto"/>
          <w:kern w:val="0"/>
          <w:sz w:val="32"/>
          <w:szCs w:val="32"/>
          <w:lang w:val="en-US" w:eastAsia="zh-CN"/>
        </w:rPr>
        <w:t>7</w:t>
      </w:r>
      <w:r>
        <w:rPr>
          <w:rFonts w:hint="default" w:ascii="Times New Roman" w:hAnsi="Times New Roman" w:eastAsia="方正仿宋_GBK" w:cs="Times New Roman"/>
          <w:color w:val="auto"/>
          <w:kern w:val="0"/>
          <w:sz w:val="32"/>
          <w:szCs w:val="32"/>
        </w:rPr>
        <w:t>月</w:t>
      </w:r>
      <w:r>
        <w:rPr>
          <w:rFonts w:hint="eastAsia" w:ascii="Times New Roman" w:hAnsi="Times New Roman" w:eastAsia="方正仿宋_GBK" w:cs="Times New Roman"/>
          <w:color w:val="auto"/>
          <w:kern w:val="0"/>
          <w:sz w:val="32"/>
          <w:szCs w:val="32"/>
          <w:lang w:val="en-US" w:eastAsia="zh-CN"/>
        </w:rPr>
        <w:t>2</w:t>
      </w:r>
      <w:r>
        <w:rPr>
          <w:rFonts w:hint="default" w:ascii="Times New Roman" w:hAnsi="Times New Roman" w:eastAsia="方正仿宋_GBK" w:cs="Times New Roman"/>
          <w:color w:val="auto"/>
          <w:kern w:val="0"/>
          <w:sz w:val="32"/>
          <w:szCs w:val="32"/>
          <w:lang w:val="en-US" w:eastAsia="zh-CN"/>
        </w:rPr>
        <w:t>0</w:t>
      </w:r>
      <w:r>
        <w:rPr>
          <w:rFonts w:hint="default" w:ascii="Times New Roman" w:hAnsi="Times New Roman" w:eastAsia="方正仿宋_GBK" w:cs="Times New Roman"/>
          <w:color w:val="auto"/>
          <w:kern w:val="0"/>
          <w:sz w:val="32"/>
          <w:szCs w:val="32"/>
        </w:rPr>
        <w:t>日  </w:t>
      </w:r>
      <w:r>
        <w:rPr>
          <w:rFonts w:hint="default" w:ascii="Times New Roman" w:hAnsi="Times New Roman" w:eastAsia="宋体" w:cs="Times New Roman"/>
          <w:color w:val="auto"/>
          <w:kern w:val="0"/>
          <w:sz w:val="32"/>
          <w:szCs w:val="32"/>
        </w:rPr>
        <w:t>  </w:t>
      </w:r>
      <w:r>
        <w:rPr>
          <w:rFonts w:hint="default" w:ascii="Times New Roman" w:hAnsi="Times New Roman" w:eastAsia="宋体" w:cs="Times New Roman"/>
          <w:color w:val="333333"/>
          <w:kern w:val="0"/>
          <w:sz w:val="32"/>
          <w:szCs w:val="32"/>
        </w:rPr>
        <w:t>     </w:t>
      </w:r>
    </w:p>
    <w:p w14:paraId="7FB0530B">
      <w:pPr>
        <w:widowControl/>
        <w:shd w:val="clear" w:color="auto" w:fill="auto"/>
        <w:spacing w:after="180"/>
        <w:ind w:firstLine="480"/>
        <w:jc w:val="left"/>
        <w:rPr>
          <w:rFonts w:hint="default" w:ascii="Times New Roman" w:hAnsi="Times New Roman" w:eastAsia="宋体" w:cs="Times New Roman"/>
          <w:color w:val="333333"/>
          <w:kern w:val="0"/>
          <w:sz w:val="32"/>
          <w:szCs w:val="32"/>
        </w:rPr>
      </w:pPr>
    </w:p>
    <w:p w14:paraId="0BFC498C">
      <w:pPr>
        <w:widowControl/>
        <w:shd w:val="clear" w:color="auto" w:fill="auto"/>
        <w:spacing w:after="180"/>
        <w:ind w:firstLine="480"/>
        <w:jc w:val="left"/>
        <w:rPr>
          <w:rFonts w:hint="default" w:ascii="Times New Roman" w:hAnsi="Times New Roman" w:eastAsia="宋体" w:cs="Times New Roman"/>
          <w:color w:val="333333"/>
          <w:kern w:val="0"/>
          <w:sz w:val="32"/>
          <w:szCs w:val="32"/>
        </w:rPr>
      </w:pPr>
    </w:p>
    <w:p w14:paraId="632E26C6">
      <w:pPr>
        <w:widowControl/>
        <w:shd w:val="clear" w:color="auto" w:fill="auto"/>
        <w:spacing w:after="180"/>
        <w:ind w:firstLine="480"/>
        <w:jc w:val="left"/>
        <w:rPr>
          <w:rFonts w:hint="default" w:ascii="Times New Roman" w:hAnsi="Times New Roman" w:eastAsia="宋体" w:cs="Times New Roman"/>
          <w:color w:val="333333"/>
          <w:kern w:val="0"/>
          <w:sz w:val="32"/>
          <w:szCs w:val="32"/>
        </w:rPr>
      </w:pPr>
    </w:p>
    <w:p w14:paraId="743AB4A8">
      <w:pPr>
        <w:widowControl/>
        <w:shd w:val="clear" w:color="auto" w:fill="auto"/>
        <w:spacing w:after="180"/>
        <w:jc w:val="left"/>
        <w:rPr>
          <w:rFonts w:hint="default" w:ascii="Times New Roman" w:hAnsi="Times New Roman" w:eastAsia="宋体" w:cs="Times New Roman"/>
          <w:color w:val="333333"/>
          <w:kern w:val="0"/>
          <w:sz w:val="32"/>
          <w:szCs w:val="32"/>
        </w:rPr>
      </w:pPr>
    </w:p>
    <w:p w14:paraId="78E69E08">
      <w:pPr>
        <w:widowControl/>
        <w:shd w:val="clear" w:color="auto" w:fill="auto"/>
        <w:spacing w:after="180"/>
        <w:jc w:val="left"/>
        <w:rPr>
          <w:rFonts w:hint="default" w:ascii="Times New Roman" w:hAnsi="Times New Roman" w:eastAsia="宋体" w:cs="Times New Roman"/>
          <w:color w:val="333333"/>
          <w:kern w:val="0"/>
          <w:sz w:val="32"/>
          <w:szCs w:val="32"/>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p>
    <w:p w14:paraId="5513E152">
      <w:pPr>
        <w:widowControl/>
        <w:shd w:val="clear" w:color="auto" w:fill="auto"/>
        <w:spacing w:after="180"/>
        <w:jc w:val="left"/>
        <w:rPr>
          <w:rFonts w:hint="default" w:ascii="Times New Roman" w:hAnsi="Times New Roman" w:eastAsia="宋体" w:cs="Times New Roman"/>
          <w:color w:val="333333"/>
          <w:kern w:val="0"/>
          <w:sz w:val="32"/>
          <w:szCs w:val="32"/>
        </w:rPr>
      </w:pPr>
      <w:r>
        <w:rPr>
          <w:rFonts w:hint="default" w:ascii="Times New Roman" w:hAnsi="Times New Roman" w:eastAsia="宋体" w:cs="Times New Roman"/>
          <w:color w:val="333333"/>
          <w:kern w:val="0"/>
          <w:sz w:val="32"/>
          <w:szCs w:val="32"/>
        </w:rPr>
        <w:t>附件：1</w:t>
      </w:r>
    </w:p>
    <w:p w14:paraId="5C780BDB">
      <w:pPr>
        <w:widowControl/>
        <w:shd w:val="clear" w:color="auto" w:fill="auto"/>
        <w:spacing w:after="180"/>
        <w:ind w:firstLine="960" w:firstLineChars="300"/>
        <w:jc w:val="left"/>
        <w:rPr>
          <w:rFonts w:hint="default" w:ascii="Times New Roman" w:hAnsi="Times New Roman" w:eastAsia="方正小标宋_GBK" w:cs="Times New Roman"/>
          <w:color w:val="333333"/>
          <w:kern w:val="0"/>
          <w:sz w:val="32"/>
          <w:szCs w:val="32"/>
        </w:rPr>
      </w:pPr>
      <w:r>
        <w:rPr>
          <w:rFonts w:hint="default" w:ascii="Times New Roman" w:hAnsi="Times New Roman" w:eastAsia="方正小标宋_GBK" w:cs="Times New Roman"/>
          <w:color w:val="333333"/>
          <w:kern w:val="0"/>
          <w:sz w:val="32"/>
          <w:szCs w:val="32"/>
        </w:rPr>
        <w:t>巴南区管道天然气用户设施安装企业登记表</w:t>
      </w:r>
    </w:p>
    <w:tbl>
      <w:tblPr>
        <w:tblStyle w:val="5"/>
        <w:tblW w:w="85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904"/>
        <w:gridCol w:w="5611"/>
      </w:tblGrid>
      <w:tr w14:paraId="17682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904"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top"/>
          </w:tcPr>
          <w:p w14:paraId="08A11247">
            <w:pPr>
              <w:pStyle w:val="4"/>
              <w:spacing w:before="0" w:beforeAutospacing="0" w:after="240" w:afterAutospacing="0" w:line="600" w:lineRule="atLeast"/>
              <w:jc w:val="both"/>
              <w:rPr>
                <w:rFonts w:hint="default" w:ascii="Times New Roman" w:hAnsi="Times New Roman" w:cs="Times New Roman"/>
              </w:rPr>
            </w:pPr>
            <w:r>
              <w:rPr>
                <w:rFonts w:hint="default" w:ascii="Times New Roman" w:hAnsi="Times New Roman" w:eastAsia="方正仿宋_GBK" w:cs="Times New Roman"/>
                <w:color w:val="333333"/>
                <w:sz w:val="28"/>
                <w:szCs w:val="28"/>
              </w:rPr>
              <w:t>企业名称（盖章）</w:t>
            </w:r>
          </w:p>
        </w:tc>
        <w:tc>
          <w:tcPr>
            <w:tcW w:w="5611" w:type="dxa"/>
            <w:tcBorders>
              <w:top w:val="single" w:color="auto" w:sz="6" w:space="0"/>
              <w:left w:val="nil"/>
              <w:bottom w:val="single" w:color="auto" w:sz="6" w:space="0"/>
              <w:right w:val="single" w:color="auto" w:sz="6" w:space="0"/>
            </w:tcBorders>
            <w:tcMar>
              <w:top w:w="0" w:type="dxa"/>
              <w:left w:w="105" w:type="dxa"/>
              <w:bottom w:w="0" w:type="dxa"/>
              <w:right w:w="105" w:type="dxa"/>
            </w:tcMar>
            <w:vAlign w:val="top"/>
          </w:tcPr>
          <w:p w14:paraId="1C0005B5">
            <w:pPr>
              <w:widowControl/>
              <w:jc w:val="left"/>
              <w:rPr>
                <w:rFonts w:hint="default" w:ascii="Times New Roman" w:hAnsi="Times New Roman" w:cs="Times New Roman"/>
                <w:color w:val="333333"/>
                <w:sz w:val="24"/>
                <w:szCs w:val="24"/>
              </w:rPr>
            </w:pPr>
          </w:p>
        </w:tc>
      </w:tr>
      <w:tr w14:paraId="1A451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904" w:type="dxa"/>
            <w:tcBorders>
              <w:top w:val="nil"/>
              <w:left w:val="single" w:color="auto" w:sz="6" w:space="0"/>
              <w:bottom w:val="single" w:color="auto" w:sz="6" w:space="0"/>
              <w:right w:val="single" w:color="auto" w:sz="6" w:space="0"/>
            </w:tcBorders>
            <w:tcMar>
              <w:top w:w="0" w:type="dxa"/>
              <w:left w:w="105" w:type="dxa"/>
              <w:bottom w:w="0" w:type="dxa"/>
              <w:right w:w="105" w:type="dxa"/>
            </w:tcMar>
            <w:vAlign w:val="top"/>
          </w:tcPr>
          <w:p w14:paraId="05E59AC6">
            <w:pPr>
              <w:pStyle w:val="4"/>
              <w:spacing w:before="0" w:beforeAutospacing="0" w:after="240" w:afterAutospacing="0" w:line="600" w:lineRule="atLeast"/>
              <w:jc w:val="both"/>
              <w:rPr>
                <w:rFonts w:hint="default" w:ascii="Times New Roman" w:hAnsi="Times New Roman" w:cs="Times New Roman"/>
              </w:rPr>
            </w:pPr>
            <w:r>
              <w:rPr>
                <w:rFonts w:hint="default" w:ascii="Times New Roman" w:hAnsi="Times New Roman" w:eastAsia="方正仿宋_GBK" w:cs="Times New Roman"/>
                <w:color w:val="333333"/>
                <w:sz w:val="28"/>
                <w:szCs w:val="28"/>
              </w:rPr>
              <w:t>统一社会信用代码</w:t>
            </w:r>
          </w:p>
        </w:tc>
        <w:tc>
          <w:tcPr>
            <w:tcW w:w="5611" w:type="dxa"/>
            <w:tcBorders>
              <w:top w:val="nil"/>
              <w:left w:val="nil"/>
              <w:bottom w:val="single" w:color="auto" w:sz="6" w:space="0"/>
              <w:right w:val="single" w:color="auto" w:sz="6" w:space="0"/>
            </w:tcBorders>
            <w:tcMar>
              <w:top w:w="0" w:type="dxa"/>
              <w:left w:w="105" w:type="dxa"/>
              <w:bottom w:w="0" w:type="dxa"/>
              <w:right w:w="105" w:type="dxa"/>
            </w:tcMar>
            <w:vAlign w:val="top"/>
          </w:tcPr>
          <w:p w14:paraId="5B1F7574">
            <w:pPr>
              <w:widowControl/>
              <w:jc w:val="left"/>
              <w:rPr>
                <w:rFonts w:hint="default" w:ascii="Times New Roman" w:hAnsi="Times New Roman" w:cs="Times New Roman"/>
                <w:color w:val="333333"/>
                <w:sz w:val="24"/>
                <w:szCs w:val="24"/>
              </w:rPr>
            </w:pPr>
          </w:p>
        </w:tc>
      </w:tr>
      <w:tr w14:paraId="3817B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904" w:type="dxa"/>
            <w:tcBorders>
              <w:top w:val="nil"/>
              <w:left w:val="single" w:color="auto" w:sz="6" w:space="0"/>
              <w:bottom w:val="single" w:color="auto" w:sz="6" w:space="0"/>
              <w:right w:val="single" w:color="auto" w:sz="6" w:space="0"/>
            </w:tcBorders>
            <w:tcMar>
              <w:top w:w="0" w:type="dxa"/>
              <w:left w:w="105" w:type="dxa"/>
              <w:bottom w:w="0" w:type="dxa"/>
              <w:right w:w="105" w:type="dxa"/>
            </w:tcMar>
            <w:vAlign w:val="top"/>
          </w:tcPr>
          <w:p w14:paraId="45798E1A">
            <w:pPr>
              <w:pStyle w:val="4"/>
              <w:spacing w:before="0" w:beforeAutospacing="0" w:after="240" w:afterAutospacing="0" w:line="600" w:lineRule="atLeast"/>
              <w:jc w:val="both"/>
              <w:rPr>
                <w:rFonts w:hint="default" w:ascii="Times New Roman" w:hAnsi="Times New Roman" w:cs="Times New Roman"/>
              </w:rPr>
            </w:pPr>
            <w:r>
              <w:rPr>
                <w:rFonts w:hint="default" w:ascii="Times New Roman" w:hAnsi="Times New Roman" w:eastAsia="方正仿宋_GBK" w:cs="Times New Roman"/>
                <w:color w:val="333333"/>
                <w:sz w:val="28"/>
                <w:szCs w:val="28"/>
              </w:rPr>
              <w:t>企业注册地址</w:t>
            </w:r>
          </w:p>
        </w:tc>
        <w:tc>
          <w:tcPr>
            <w:tcW w:w="5611" w:type="dxa"/>
            <w:tcBorders>
              <w:top w:val="nil"/>
              <w:left w:val="nil"/>
              <w:bottom w:val="single" w:color="auto" w:sz="6" w:space="0"/>
              <w:right w:val="single" w:color="auto" w:sz="6" w:space="0"/>
            </w:tcBorders>
            <w:tcMar>
              <w:top w:w="0" w:type="dxa"/>
              <w:left w:w="105" w:type="dxa"/>
              <w:bottom w:w="0" w:type="dxa"/>
              <w:right w:w="105" w:type="dxa"/>
            </w:tcMar>
            <w:vAlign w:val="top"/>
          </w:tcPr>
          <w:p w14:paraId="0A23C474">
            <w:pPr>
              <w:widowControl/>
              <w:jc w:val="left"/>
              <w:rPr>
                <w:rFonts w:hint="default" w:ascii="Times New Roman" w:hAnsi="Times New Roman" w:cs="Times New Roman"/>
                <w:color w:val="333333"/>
                <w:sz w:val="24"/>
                <w:szCs w:val="24"/>
              </w:rPr>
            </w:pPr>
          </w:p>
        </w:tc>
      </w:tr>
      <w:tr w14:paraId="08A95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904" w:type="dxa"/>
            <w:tcBorders>
              <w:top w:val="nil"/>
              <w:left w:val="single" w:color="auto" w:sz="6" w:space="0"/>
              <w:bottom w:val="single" w:color="auto" w:sz="6" w:space="0"/>
              <w:right w:val="single" w:color="auto" w:sz="6" w:space="0"/>
            </w:tcBorders>
            <w:tcMar>
              <w:top w:w="0" w:type="dxa"/>
              <w:left w:w="105" w:type="dxa"/>
              <w:bottom w:w="0" w:type="dxa"/>
              <w:right w:w="105" w:type="dxa"/>
            </w:tcMar>
            <w:vAlign w:val="top"/>
          </w:tcPr>
          <w:p w14:paraId="6C880E9F">
            <w:pPr>
              <w:pStyle w:val="4"/>
              <w:spacing w:before="0" w:beforeAutospacing="0" w:after="240" w:afterAutospacing="0" w:line="600" w:lineRule="atLeast"/>
              <w:jc w:val="both"/>
              <w:rPr>
                <w:rFonts w:hint="default" w:ascii="Times New Roman" w:hAnsi="Times New Roman" w:cs="Times New Roman"/>
              </w:rPr>
            </w:pPr>
            <w:r>
              <w:rPr>
                <w:rFonts w:hint="default" w:ascii="Times New Roman" w:hAnsi="Times New Roman" w:eastAsia="方正仿宋_GBK" w:cs="Times New Roman"/>
                <w:color w:val="333333"/>
                <w:sz w:val="28"/>
                <w:szCs w:val="28"/>
              </w:rPr>
              <w:t>法人代表及联系电话</w:t>
            </w:r>
          </w:p>
        </w:tc>
        <w:tc>
          <w:tcPr>
            <w:tcW w:w="5611" w:type="dxa"/>
            <w:tcBorders>
              <w:top w:val="nil"/>
              <w:left w:val="nil"/>
              <w:bottom w:val="single" w:color="auto" w:sz="6" w:space="0"/>
              <w:right w:val="single" w:color="auto" w:sz="6" w:space="0"/>
            </w:tcBorders>
            <w:tcMar>
              <w:top w:w="0" w:type="dxa"/>
              <w:left w:w="105" w:type="dxa"/>
              <w:bottom w:w="0" w:type="dxa"/>
              <w:right w:w="105" w:type="dxa"/>
            </w:tcMar>
            <w:vAlign w:val="top"/>
          </w:tcPr>
          <w:p w14:paraId="45E36EF3">
            <w:pPr>
              <w:widowControl/>
              <w:jc w:val="left"/>
              <w:rPr>
                <w:rFonts w:hint="default" w:ascii="Times New Roman" w:hAnsi="Times New Roman" w:cs="Times New Roman"/>
                <w:color w:val="333333"/>
                <w:sz w:val="24"/>
                <w:szCs w:val="24"/>
              </w:rPr>
            </w:pPr>
          </w:p>
        </w:tc>
      </w:tr>
      <w:tr w14:paraId="7411E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904" w:type="dxa"/>
            <w:tcBorders>
              <w:top w:val="nil"/>
              <w:left w:val="single" w:color="auto" w:sz="6" w:space="0"/>
              <w:bottom w:val="single" w:color="auto" w:sz="6" w:space="0"/>
              <w:right w:val="single" w:color="auto" w:sz="6" w:space="0"/>
            </w:tcBorders>
            <w:tcMar>
              <w:top w:w="0" w:type="dxa"/>
              <w:left w:w="105" w:type="dxa"/>
              <w:bottom w:w="0" w:type="dxa"/>
              <w:right w:w="105" w:type="dxa"/>
            </w:tcMar>
            <w:vAlign w:val="top"/>
          </w:tcPr>
          <w:p w14:paraId="063F2A35">
            <w:pPr>
              <w:pStyle w:val="4"/>
              <w:spacing w:before="0" w:beforeAutospacing="0" w:after="240" w:afterAutospacing="0" w:line="600" w:lineRule="atLeast"/>
              <w:jc w:val="both"/>
              <w:rPr>
                <w:rFonts w:hint="default" w:ascii="Times New Roman" w:hAnsi="Times New Roman" w:cs="Times New Roman"/>
              </w:rPr>
            </w:pPr>
            <w:r>
              <w:rPr>
                <w:rFonts w:hint="default" w:ascii="Times New Roman" w:hAnsi="Times New Roman" w:eastAsia="方正仿宋_GBK" w:cs="Times New Roman"/>
                <w:color w:val="333333"/>
                <w:sz w:val="28"/>
                <w:szCs w:val="28"/>
              </w:rPr>
              <w:t>管道安装资质证书颁发单位及证书编号</w:t>
            </w:r>
          </w:p>
        </w:tc>
        <w:tc>
          <w:tcPr>
            <w:tcW w:w="5611" w:type="dxa"/>
            <w:tcBorders>
              <w:top w:val="nil"/>
              <w:left w:val="nil"/>
              <w:bottom w:val="single" w:color="auto" w:sz="6" w:space="0"/>
              <w:right w:val="single" w:color="auto" w:sz="6" w:space="0"/>
            </w:tcBorders>
            <w:tcMar>
              <w:top w:w="0" w:type="dxa"/>
              <w:left w:w="105" w:type="dxa"/>
              <w:bottom w:w="0" w:type="dxa"/>
              <w:right w:w="105" w:type="dxa"/>
            </w:tcMar>
            <w:vAlign w:val="top"/>
          </w:tcPr>
          <w:p w14:paraId="075BE209">
            <w:pPr>
              <w:widowControl/>
              <w:jc w:val="left"/>
              <w:rPr>
                <w:rFonts w:hint="default" w:ascii="Times New Roman" w:hAnsi="Times New Roman" w:cs="Times New Roman"/>
                <w:color w:val="333333"/>
                <w:sz w:val="24"/>
                <w:szCs w:val="24"/>
              </w:rPr>
            </w:pPr>
          </w:p>
        </w:tc>
      </w:tr>
      <w:tr w14:paraId="34B3F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904" w:type="dxa"/>
            <w:tcBorders>
              <w:top w:val="nil"/>
              <w:left w:val="single" w:color="auto" w:sz="6" w:space="0"/>
              <w:bottom w:val="single" w:color="auto" w:sz="6" w:space="0"/>
              <w:right w:val="single" w:color="auto" w:sz="6" w:space="0"/>
            </w:tcBorders>
            <w:tcMar>
              <w:top w:w="0" w:type="dxa"/>
              <w:left w:w="105" w:type="dxa"/>
              <w:bottom w:w="0" w:type="dxa"/>
              <w:right w:w="105" w:type="dxa"/>
            </w:tcMar>
            <w:vAlign w:val="top"/>
          </w:tcPr>
          <w:p w14:paraId="08DE6A6A">
            <w:pPr>
              <w:pStyle w:val="4"/>
              <w:spacing w:before="0" w:beforeAutospacing="0" w:after="240" w:afterAutospacing="0" w:line="600" w:lineRule="atLeast"/>
              <w:jc w:val="both"/>
              <w:rPr>
                <w:rFonts w:hint="default" w:ascii="Times New Roman" w:hAnsi="Times New Roman" w:cs="Times New Roman"/>
              </w:rPr>
            </w:pPr>
            <w:r>
              <w:rPr>
                <w:rFonts w:hint="default" w:ascii="Times New Roman" w:hAnsi="Times New Roman" w:eastAsia="方正仿宋_GBK" w:cs="Times New Roman"/>
                <w:color w:val="333333"/>
                <w:sz w:val="28"/>
                <w:szCs w:val="28"/>
              </w:rPr>
              <w:t>管道安装资质证书有效期</w:t>
            </w:r>
          </w:p>
        </w:tc>
        <w:tc>
          <w:tcPr>
            <w:tcW w:w="5611" w:type="dxa"/>
            <w:tcBorders>
              <w:top w:val="nil"/>
              <w:left w:val="nil"/>
              <w:bottom w:val="single" w:color="auto" w:sz="6" w:space="0"/>
              <w:right w:val="single" w:color="auto" w:sz="6" w:space="0"/>
            </w:tcBorders>
            <w:tcMar>
              <w:top w:w="0" w:type="dxa"/>
              <w:left w:w="105" w:type="dxa"/>
              <w:bottom w:w="0" w:type="dxa"/>
              <w:right w:w="105" w:type="dxa"/>
            </w:tcMar>
            <w:vAlign w:val="top"/>
          </w:tcPr>
          <w:p w14:paraId="59752363">
            <w:pPr>
              <w:widowControl/>
              <w:jc w:val="left"/>
              <w:rPr>
                <w:rFonts w:hint="default" w:ascii="Times New Roman" w:hAnsi="Times New Roman" w:cs="Times New Roman"/>
                <w:color w:val="333333"/>
                <w:sz w:val="24"/>
                <w:szCs w:val="24"/>
              </w:rPr>
            </w:pPr>
          </w:p>
        </w:tc>
      </w:tr>
      <w:tr w14:paraId="51281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904" w:type="dxa"/>
            <w:tcBorders>
              <w:top w:val="nil"/>
              <w:left w:val="single" w:color="auto" w:sz="6" w:space="0"/>
              <w:bottom w:val="single" w:color="auto" w:sz="6" w:space="0"/>
              <w:right w:val="single" w:color="auto" w:sz="6" w:space="0"/>
            </w:tcBorders>
            <w:tcMar>
              <w:top w:w="0" w:type="dxa"/>
              <w:left w:w="105" w:type="dxa"/>
              <w:bottom w:w="0" w:type="dxa"/>
              <w:right w:w="105" w:type="dxa"/>
            </w:tcMar>
            <w:vAlign w:val="top"/>
          </w:tcPr>
          <w:p w14:paraId="5C1F9A21">
            <w:pPr>
              <w:pStyle w:val="4"/>
              <w:spacing w:before="0" w:beforeAutospacing="0" w:after="240" w:afterAutospacing="0" w:line="600" w:lineRule="atLeast"/>
              <w:jc w:val="both"/>
              <w:rPr>
                <w:rFonts w:hint="default" w:ascii="Times New Roman" w:hAnsi="Times New Roman" w:cs="Times New Roman"/>
              </w:rPr>
            </w:pPr>
            <w:r>
              <w:rPr>
                <w:rFonts w:hint="default" w:ascii="Times New Roman" w:hAnsi="Times New Roman" w:eastAsia="方正仿宋_GBK" w:cs="Times New Roman"/>
                <w:color w:val="333333"/>
                <w:sz w:val="28"/>
                <w:szCs w:val="28"/>
              </w:rPr>
              <w:t>登记日期</w:t>
            </w:r>
          </w:p>
        </w:tc>
        <w:tc>
          <w:tcPr>
            <w:tcW w:w="5611" w:type="dxa"/>
            <w:tcBorders>
              <w:top w:val="nil"/>
              <w:left w:val="nil"/>
              <w:bottom w:val="single" w:color="auto" w:sz="6" w:space="0"/>
              <w:right w:val="single" w:color="auto" w:sz="6" w:space="0"/>
            </w:tcBorders>
            <w:tcMar>
              <w:top w:w="0" w:type="dxa"/>
              <w:left w:w="105" w:type="dxa"/>
              <w:bottom w:w="0" w:type="dxa"/>
              <w:right w:w="105" w:type="dxa"/>
            </w:tcMar>
            <w:vAlign w:val="top"/>
          </w:tcPr>
          <w:p w14:paraId="5736FE29">
            <w:pPr>
              <w:widowControl/>
              <w:jc w:val="left"/>
              <w:rPr>
                <w:rFonts w:hint="default" w:ascii="Times New Roman" w:hAnsi="Times New Roman" w:cs="Times New Roman"/>
                <w:color w:val="333333"/>
                <w:sz w:val="24"/>
                <w:szCs w:val="24"/>
              </w:rPr>
            </w:pPr>
          </w:p>
          <w:p w14:paraId="5791066F">
            <w:pPr>
              <w:widowControl/>
              <w:jc w:val="left"/>
              <w:rPr>
                <w:rFonts w:hint="default" w:ascii="Times New Roman" w:hAnsi="Times New Roman" w:cs="Times New Roman"/>
                <w:color w:val="333333"/>
                <w:sz w:val="24"/>
                <w:szCs w:val="24"/>
              </w:rPr>
            </w:pPr>
          </w:p>
          <w:p w14:paraId="045C7D6B">
            <w:pPr>
              <w:widowControl/>
              <w:jc w:val="left"/>
              <w:rPr>
                <w:rFonts w:hint="default" w:ascii="Times New Roman" w:hAnsi="Times New Roman" w:cs="Times New Roman"/>
                <w:color w:val="333333"/>
                <w:sz w:val="24"/>
                <w:szCs w:val="24"/>
              </w:rPr>
            </w:pPr>
          </w:p>
        </w:tc>
      </w:tr>
    </w:tbl>
    <w:p w14:paraId="6EA7C563">
      <w:pPr>
        <w:pStyle w:val="4"/>
        <w:spacing w:before="0" w:beforeAutospacing="0" w:after="180" w:afterAutospacing="0" w:line="450" w:lineRule="atLeast"/>
        <w:rPr>
          <w:rFonts w:hint="default" w:ascii="Times New Roman" w:hAnsi="Times New Roman" w:cs="Times New Roman"/>
        </w:rPr>
      </w:pPr>
    </w:p>
    <w:p w14:paraId="42691087">
      <w:pPr>
        <w:pStyle w:val="4"/>
        <w:spacing w:before="0" w:beforeAutospacing="0" w:after="180" w:afterAutospacing="0" w:line="450" w:lineRule="atLeast"/>
        <w:rPr>
          <w:rFonts w:hint="default" w:ascii="Times New Roman" w:hAnsi="Times New Roman" w:cs="Times New Roman"/>
        </w:rPr>
      </w:pPr>
    </w:p>
    <w:p w14:paraId="13DCF70A">
      <w:pPr>
        <w:pStyle w:val="4"/>
        <w:spacing w:before="0" w:beforeAutospacing="0" w:after="180" w:afterAutospacing="0" w:line="450" w:lineRule="atLeast"/>
        <w:rPr>
          <w:rFonts w:hint="default" w:ascii="Times New Roman" w:hAnsi="Times New Roman" w:cs="Times New Roman"/>
        </w:rPr>
      </w:pPr>
    </w:p>
    <w:p w14:paraId="1BBD1E4F">
      <w:pPr>
        <w:pStyle w:val="4"/>
        <w:spacing w:before="0" w:beforeAutospacing="0" w:after="180" w:afterAutospacing="0" w:line="450" w:lineRule="atLeast"/>
        <w:rPr>
          <w:rFonts w:hint="default" w:ascii="Times New Roman" w:hAnsi="Times New Roman" w:cs="Times New Roman"/>
        </w:rPr>
      </w:pPr>
    </w:p>
    <w:p w14:paraId="4DDF1E6E">
      <w:pPr>
        <w:pStyle w:val="4"/>
        <w:spacing w:before="0" w:beforeAutospacing="0" w:after="0" w:afterAutospacing="0" w:line="420" w:lineRule="atLeast"/>
        <w:rPr>
          <w:rFonts w:hint="default" w:ascii="Times New Roman" w:hAnsi="Times New Roman" w:eastAsia="方正仿宋_GBK" w:cs="Times New Roman"/>
          <w:color w:val="333333"/>
          <w:sz w:val="32"/>
          <w:szCs w:val="32"/>
        </w:rPr>
      </w:pPr>
    </w:p>
    <w:p w14:paraId="7FA50C70">
      <w:pPr>
        <w:pStyle w:val="4"/>
        <w:spacing w:before="0" w:beforeAutospacing="0" w:after="0" w:afterAutospacing="0" w:line="420" w:lineRule="atLeast"/>
        <w:rPr>
          <w:rFonts w:hint="default" w:ascii="Times New Roman" w:hAnsi="Times New Roman" w:eastAsia="方正仿宋_GBK" w:cs="Times New Roman"/>
          <w:color w:val="333333"/>
          <w:sz w:val="32"/>
          <w:szCs w:val="32"/>
        </w:rPr>
      </w:pPr>
    </w:p>
    <w:p w14:paraId="6C55BC4A">
      <w:pPr>
        <w:pStyle w:val="4"/>
        <w:spacing w:before="0" w:beforeAutospacing="0" w:after="0" w:afterAutospacing="0" w:line="420" w:lineRule="atLeast"/>
        <w:rPr>
          <w:rFonts w:hint="default" w:ascii="Times New Roman" w:hAnsi="Times New Roman" w:eastAsia="方正仿宋_GBK" w:cs="Times New Roman"/>
          <w:color w:val="333333"/>
          <w:sz w:val="32"/>
          <w:szCs w:val="32"/>
        </w:rPr>
      </w:pPr>
    </w:p>
    <w:p w14:paraId="29488E79">
      <w:pPr>
        <w:pStyle w:val="4"/>
        <w:spacing w:before="0" w:beforeAutospacing="0" w:after="0" w:afterAutospacing="0" w:line="420" w:lineRule="atLeast"/>
        <w:rPr>
          <w:rFonts w:hint="default" w:ascii="Times New Roman" w:hAnsi="Times New Roman" w:eastAsia="宋体" w:cs="Times New Roman"/>
          <w:color w:val="333333"/>
          <w:sz w:val="32"/>
          <w:szCs w:val="32"/>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7A01A27D">
      <w:pPr>
        <w:pStyle w:val="4"/>
        <w:spacing w:before="0" w:beforeAutospacing="0" w:after="0" w:afterAutospacing="0" w:line="420" w:lineRule="atLeast"/>
        <w:rPr>
          <w:rFonts w:hint="default" w:ascii="Times New Roman" w:hAnsi="Times New Roman" w:eastAsia="宋体" w:cs="Times New Roman"/>
          <w:color w:val="333333"/>
          <w:sz w:val="32"/>
          <w:szCs w:val="32"/>
        </w:rPr>
      </w:pPr>
      <w:r>
        <w:rPr>
          <w:rFonts w:hint="default" w:ascii="Times New Roman" w:hAnsi="Times New Roman" w:eastAsia="宋体" w:cs="Times New Roman"/>
          <w:color w:val="333333"/>
          <w:sz w:val="32"/>
          <w:szCs w:val="32"/>
        </w:rPr>
        <w:t>附件:2</w:t>
      </w:r>
    </w:p>
    <w:p w14:paraId="3CCCF6AB">
      <w:pPr>
        <w:pStyle w:val="4"/>
        <w:spacing w:before="0" w:beforeAutospacing="0" w:after="0" w:afterAutospacing="0" w:line="420" w:lineRule="atLeast"/>
        <w:ind w:firstLine="480"/>
        <w:jc w:val="center"/>
        <w:rPr>
          <w:rFonts w:hint="default" w:ascii="Times New Roman" w:hAnsi="Times New Roman" w:eastAsia="方正小标宋_GBK" w:cs="Times New Roman"/>
          <w:color w:val="333333"/>
          <w:sz w:val="44"/>
          <w:szCs w:val="44"/>
        </w:rPr>
      </w:pPr>
      <w:r>
        <w:rPr>
          <w:rFonts w:hint="default" w:ascii="Times New Roman" w:hAnsi="Times New Roman" w:eastAsia="方正小标宋_GBK" w:cs="Times New Roman"/>
          <w:color w:val="333333"/>
          <w:sz w:val="44"/>
          <w:szCs w:val="44"/>
        </w:rPr>
        <w:t>相关情况说明</w:t>
      </w:r>
    </w:p>
    <w:p w14:paraId="18BEEB59">
      <w:pPr>
        <w:pStyle w:val="4"/>
        <w:spacing w:before="0" w:beforeAutospacing="0" w:after="0" w:afterAutospacing="0" w:line="420" w:lineRule="atLeast"/>
        <w:ind w:firstLine="480"/>
        <w:rPr>
          <w:rFonts w:hint="default" w:ascii="Times New Roman" w:hAnsi="Times New Roman" w:cs="Times New Roman"/>
          <w:color w:val="333333"/>
          <w:sz w:val="32"/>
          <w:szCs w:val="32"/>
        </w:rPr>
      </w:pPr>
    </w:p>
    <w:p w14:paraId="73E8F188">
      <w:pPr>
        <w:pStyle w:val="4"/>
        <w:spacing w:before="0" w:beforeAutospacing="0" w:after="0" w:afterAutospacing="0" w:line="600" w:lineRule="exact"/>
        <w:ind w:firstLine="640" w:firstLineChars="200"/>
        <w:rPr>
          <w:rFonts w:hint="default" w:ascii="Times New Roman" w:hAnsi="Times New Roman" w:eastAsia="方正黑体_GBK" w:cs="Times New Roman"/>
          <w:color w:val="333333"/>
          <w:sz w:val="32"/>
          <w:szCs w:val="32"/>
        </w:rPr>
      </w:pPr>
      <w:r>
        <w:rPr>
          <w:rFonts w:hint="default" w:ascii="Times New Roman" w:hAnsi="Times New Roman" w:eastAsia="方正黑体_GBK" w:cs="Times New Roman"/>
          <w:color w:val="333333"/>
          <w:sz w:val="32"/>
          <w:szCs w:val="32"/>
        </w:rPr>
        <w:t>一、自愿纳入目录清单安装单位条件</w:t>
      </w:r>
    </w:p>
    <w:p w14:paraId="5498566C">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rPr>
        <w:t>（一）有独立承担民事责任能力。申请纳入目录清单的安装单位应是独立法人，申请时应按相关资质证书载明主体进行申报，不得以其直属机构、派出机构、分公司等名义申请。安装单位及其子公司均符合申报条件的，可同时申请。</w:t>
      </w:r>
    </w:p>
    <w:p w14:paraId="11FB391D">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rPr>
        <w:t>（二）具有从事相关业务的资质证书。开展勘察业务的，应具备相应的工程勘察资质。开展工程设计及相关业务的，应取得相应的工程设计资质，如工程设计综合资质、市政行业资质、燃气工程专业资质或其他能涵盖用户管道天然气设施设计内容的行业或专业资质，涉及压力管道的，还应取得GB1级以上的压力管道特种设备设计许可证。开展工程施工及相关业务的，应取得相应的建筑企业资质，如市政公用工程施工总承包二级及以上资质、石油化工工程施工总承包三级及以上资质、安全生产许可证等，涉及压力管道的，还应取得GB1级（含PE专项）以上的压力管道特种设备安装改造维修许可证。</w:t>
      </w:r>
    </w:p>
    <w:p w14:paraId="62655947">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rPr>
        <w:t>开展监理业务的，应取得相应工程监理企业资质，如监理综合资质、市政公用工程专业乙级及以上资质、化工石油工程专业乙级及以上资质等。</w:t>
      </w:r>
    </w:p>
    <w:p w14:paraId="49EF2C23">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rPr>
        <w:t>本次重点征集管道天然气设施建设的设计、施工类安装单位。</w:t>
      </w:r>
    </w:p>
    <w:p w14:paraId="6DE7548D">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rPr>
        <w:t>（三）具有健全的企业管理制度和质量保证体系。企业管理制度指企业生产经营活动相关的制度安排，包括但不限于组织机构、专业管理制度、工作流程等。质量保证体系指为确保安装工程质量，建立并有效运行的系统化、标准化的机构、方法、程序等制度。</w:t>
      </w:r>
    </w:p>
    <w:p w14:paraId="53AB0999">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rPr>
        <w:t>（四）具有从事相关业务的设备机具和专业技术能力。设备机具指从事安装业务所必需的主要设备、机器具，专业技术能力指从事安装业务所必需的执业人员或专业技术人员。</w:t>
      </w:r>
    </w:p>
    <w:p w14:paraId="7BCBBB13">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rPr>
        <w:t>（五）信用良好，未被纳入严重违法失信企业名单。</w:t>
      </w:r>
    </w:p>
    <w:p w14:paraId="2EE02750">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rPr>
        <w:t>（六）近三年未发生过生产安全事故或工程质量事故。</w:t>
      </w:r>
    </w:p>
    <w:p w14:paraId="565CFE5F">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rPr>
        <w:t>（七）法律法规规定应当具备的其他条件。未违反相关法律法规规定。</w:t>
      </w:r>
    </w:p>
    <w:p w14:paraId="7EC4E42A">
      <w:pPr>
        <w:pStyle w:val="4"/>
        <w:spacing w:before="0" w:beforeAutospacing="0" w:after="0" w:afterAutospacing="0" w:line="600" w:lineRule="exact"/>
        <w:ind w:firstLine="640" w:firstLineChars="200"/>
        <w:rPr>
          <w:rFonts w:hint="default" w:ascii="Times New Roman" w:hAnsi="Times New Roman" w:eastAsia="方正黑体_GBK" w:cs="Times New Roman"/>
          <w:color w:val="333333"/>
          <w:sz w:val="32"/>
          <w:szCs w:val="32"/>
        </w:rPr>
      </w:pPr>
      <w:r>
        <w:rPr>
          <w:rFonts w:hint="default" w:ascii="Times New Roman" w:hAnsi="Times New Roman" w:eastAsia="方正黑体_GBK" w:cs="Times New Roman"/>
          <w:color w:val="333333"/>
          <w:sz w:val="32"/>
          <w:szCs w:val="32"/>
        </w:rPr>
        <w:t>二、所需提交资料（复印件加盖本单位公章）</w:t>
      </w:r>
    </w:p>
    <w:p w14:paraId="1009A3AC">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lang w:eastAsia="zh-CN"/>
        </w:rPr>
      </w:pPr>
      <w:r>
        <w:rPr>
          <w:rFonts w:hint="default" w:ascii="Times New Roman" w:hAnsi="Times New Roman" w:eastAsia="方正仿宋_GBK" w:cs="Times New Roman"/>
          <w:color w:val="333333"/>
          <w:sz w:val="32"/>
          <w:szCs w:val="32"/>
        </w:rPr>
        <w:t>1.巴南区管道天然气用户设施安装企业登记表</w:t>
      </w:r>
      <w:r>
        <w:rPr>
          <w:rFonts w:hint="default" w:ascii="Times New Roman" w:hAnsi="Times New Roman" w:eastAsia="方正仿宋_GBK" w:cs="Times New Roman"/>
          <w:color w:val="333333"/>
          <w:sz w:val="32"/>
          <w:szCs w:val="32"/>
          <w:lang w:eastAsia="zh-CN"/>
        </w:rPr>
        <w:t>（附件</w:t>
      </w:r>
      <w:r>
        <w:rPr>
          <w:rFonts w:hint="default" w:ascii="Times New Roman" w:hAnsi="Times New Roman" w:eastAsia="方正仿宋_GBK" w:cs="Times New Roman"/>
          <w:color w:val="333333"/>
          <w:sz w:val="32"/>
          <w:szCs w:val="32"/>
          <w:lang w:val="en-US" w:eastAsia="zh-CN"/>
        </w:rPr>
        <w:t>1</w:t>
      </w:r>
      <w:r>
        <w:rPr>
          <w:rFonts w:hint="default" w:ascii="Times New Roman" w:hAnsi="Times New Roman" w:eastAsia="方正仿宋_GBK" w:cs="Times New Roman"/>
          <w:color w:val="333333"/>
          <w:sz w:val="32"/>
          <w:szCs w:val="32"/>
          <w:lang w:eastAsia="zh-CN"/>
        </w:rPr>
        <w:t>）</w:t>
      </w:r>
    </w:p>
    <w:p w14:paraId="5A593879">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lang w:val="en-US" w:eastAsia="zh-CN"/>
        </w:rPr>
        <w:t>2.</w:t>
      </w:r>
      <w:r>
        <w:rPr>
          <w:rFonts w:hint="default" w:ascii="Times New Roman" w:hAnsi="Times New Roman" w:eastAsia="方正仿宋_GBK" w:cs="Times New Roman"/>
          <w:color w:val="333333"/>
          <w:sz w:val="32"/>
          <w:szCs w:val="32"/>
        </w:rPr>
        <w:t>营业执照复印件。</w:t>
      </w:r>
    </w:p>
    <w:p w14:paraId="22C3FAB2">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lang w:val="en-US" w:eastAsia="zh-CN"/>
        </w:rPr>
        <w:t>3</w:t>
      </w:r>
      <w:r>
        <w:rPr>
          <w:rFonts w:hint="default" w:ascii="Times New Roman" w:hAnsi="Times New Roman" w:eastAsia="方正仿宋_GBK" w:cs="Times New Roman"/>
          <w:color w:val="333333"/>
          <w:sz w:val="32"/>
          <w:szCs w:val="32"/>
        </w:rPr>
        <w:t>.从事相关业务的资质证书复印件，如企业管道安装资质证书复印件、安装人员从业证书复印件、从业人员和企业劳动关系证明等。</w:t>
      </w:r>
    </w:p>
    <w:p w14:paraId="28C65121">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lang w:val="en-US" w:eastAsia="zh-CN"/>
        </w:rPr>
        <w:t>4</w:t>
      </w:r>
      <w:r>
        <w:rPr>
          <w:rFonts w:hint="default" w:ascii="Times New Roman" w:hAnsi="Times New Roman" w:eastAsia="方正仿宋_GBK" w:cs="Times New Roman"/>
          <w:color w:val="333333"/>
          <w:sz w:val="32"/>
          <w:szCs w:val="32"/>
        </w:rPr>
        <w:t>.企业管理制度和质量保证体系相关的认证证书、制度性文件或必要的说明。</w:t>
      </w:r>
    </w:p>
    <w:p w14:paraId="7B4CAE1E">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lang w:val="en-US" w:eastAsia="zh-CN"/>
        </w:rPr>
        <w:t>5</w:t>
      </w:r>
      <w:r>
        <w:rPr>
          <w:rFonts w:hint="default" w:ascii="Times New Roman" w:hAnsi="Times New Roman" w:eastAsia="方正仿宋_GBK" w:cs="Times New Roman"/>
          <w:color w:val="333333"/>
          <w:sz w:val="32"/>
          <w:szCs w:val="32"/>
        </w:rPr>
        <w:t>.表格式列举所具有的主要设备、机器具和专业技术人员。</w:t>
      </w:r>
    </w:p>
    <w:p w14:paraId="0537EF64">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lang w:val="en-US" w:eastAsia="zh-CN"/>
        </w:rPr>
        <w:t>6</w:t>
      </w:r>
      <w:r>
        <w:rPr>
          <w:rFonts w:hint="default" w:ascii="Times New Roman" w:hAnsi="Times New Roman" w:eastAsia="方正仿宋_GBK" w:cs="Times New Roman"/>
          <w:color w:val="333333"/>
          <w:sz w:val="32"/>
          <w:szCs w:val="32"/>
        </w:rPr>
        <w:t>.公司法人、安装工程负责人、日常联系人和联系方式。</w:t>
      </w:r>
    </w:p>
    <w:p w14:paraId="2817B064">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lang w:val="en-US" w:eastAsia="zh-CN"/>
        </w:rPr>
        <w:t>7</w:t>
      </w:r>
      <w:r>
        <w:rPr>
          <w:rFonts w:hint="default" w:ascii="Times New Roman" w:hAnsi="Times New Roman" w:eastAsia="方正仿宋_GBK" w:cs="Times New Roman"/>
          <w:color w:val="333333"/>
          <w:sz w:val="32"/>
          <w:szCs w:val="32"/>
        </w:rPr>
        <w:t>.信用网站信用结果查询单。</w:t>
      </w:r>
    </w:p>
    <w:p w14:paraId="2A8F6C61">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lang w:val="en-US" w:eastAsia="zh-CN"/>
        </w:rPr>
        <w:t>8</w:t>
      </w:r>
      <w:r>
        <w:rPr>
          <w:rFonts w:hint="default" w:ascii="Times New Roman" w:hAnsi="Times New Roman" w:eastAsia="方正仿宋_GBK" w:cs="Times New Roman"/>
          <w:color w:val="333333"/>
          <w:sz w:val="32"/>
          <w:szCs w:val="32"/>
        </w:rPr>
        <w:t>.安装单位服务承诺。</w:t>
      </w:r>
    </w:p>
    <w:p w14:paraId="3C1B91D8">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lang w:val="en-US" w:eastAsia="zh-CN"/>
        </w:rPr>
      </w:pPr>
      <w:r>
        <w:rPr>
          <w:rFonts w:hint="default" w:ascii="Times New Roman" w:hAnsi="Times New Roman" w:eastAsia="方正仿宋_GBK" w:cs="Times New Roman"/>
          <w:color w:val="333333"/>
          <w:sz w:val="32"/>
          <w:szCs w:val="32"/>
          <w:lang w:val="en-US" w:eastAsia="zh-CN"/>
        </w:rPr>
        <w:t>9.本企业收费标准清单。</w:t>
      </w:r>
    </w:p>
    <w:p w14:paraId="214AB25B">
      <w:pPr>
        <w:pStyle w:val="4"/>
        <w:spacing w:before="0" w:beforeAutospacing="0" w:after="0" w:afterAutospacing="0" w:line="600" w:lineRule="exact"/>
        <w:ind w:firstLine="640" w:firstLineChars="20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lang w:val="en-US" w:eastAsia="zh-CN"/>
        </w:rPr>
        <w:t>10</w:t>
      </w:r>
      <w:r>
        <w:rPr>
          <w:rFonts w:hint="default" w:ascii="Times New Roman" w:hAnsi="Times New Roman" w:eastAsia="方正仿宋_GBK" w:cs="Times New Roman"/>
          <w:color w:val="333333"/>
          <w:sz w:val="32"/>
          <w:szCs w:val="32"/>
        </w:rPr>
        <w:t>.真实性承诺书，包含资料真实性、安全事故或工程质量事故情况、是否违反相关法律法规规定等。</w:t>
      </w:r>
    </w:p>
    <w:p w14:paraId="633AA88C">
      <w:pPr>
        <w:spacing w:line="600" w:lineRule="exact"/>
        <w:ind w:firstLine="420" w:firstLineChars="200"/>
        <w:jc w:val="left"/>
        <w:rPr>
          <w:rFonts w:hint="default" w:ascii="Times New Roman" w:hAnsi="Times New Roman" w:eastAsia="方正仿宋_GBK" w:cs="Times New Roman"/>
        </w:rPr>
      </w:pPr>
    </w:p>
    <w:p w14:paraId="3BBD3701">
      <w:pPr>
        <w:pStyle w:val="4"/>
        <w:spacing w:before="0" w:beforeAutospacing="0" w:after="300" w:afterAutospacing="0"/>
        <w:jc w:val="both"/>
        <w:rPr>
          <w:rFonts w:hint="default" w:ascii="Times New Roman" w:hAnsi="Times New Roman" w:eastAsia="方正仿宋_GBK" w:cs="Times New Roman"/>
          <w:color w:val="333333"/>
          <w:sz w:val="32"/>
          <w:szCs w:val="32"/>
        </w:rPr>
      </w:pPr>
    </w:p>
    <w:p w14:paraId="3A10E343">
      <w:pPr>
        <w:rPr>
          <w:rFonts w:hint="default" w:ascii="Times New Roman" w:hAnsi="Times New Roman" w:eastAsia="方正仿宋_GBK" w:cs="Times New Roman"/>
          <w:sz w:val="32"/>
          <w:szCs w:val="32"/>
        </w:rPr>
      </w:pPr>
    </w:p>
    <w:p w14:paraId="241D2BE5">
      <w:pPr>
        <w:rPr>
          <w:rFonts w:hint="default" w:ascii="Times New Roman" w:hAnsi="Times New Roman" w:eastAsia="方正仿宋_GBK" w:cs="Times New Roman"/>
        </w:rPr>
      </w:pPr>
    </w:p>
    <w:p w14:paraId="73F4FD31">
      <w:pPr>
        <w:rPr>
          <w:rFonts w:hint="default" w:ascii="Times New Roman" w:hAnsi="Times New Roman" w:eastAsia="方正仿宋_GBK" w:cs="Times New Roman"/>
        </w:rPr>
      </w:pPr>
    </w:p>
    <w:p w14:paraId="5D47320A">
      <w:pPr>
        <w:rPr>
          <w:rFonts w:hint="default" w:ascii="Times New Roman" w:hAnsi="Times New Roman" w:eastAsia="方正仿宋_GBK" w:cs="Times New Roman"/>
        </w:rPr>
      </w:pPr>
    </w:p>
    <w:p w14:paraId="6133E438">
      <w:pPr>
        <w:rPr>
          <w:rFonts w:hint="default" w:ascii="Times New Roman" w:hAnsi="Times New Roman" w:eastAsia="方正仿宋_GBK" w:cs="Times New Roman"/>
        </w:rPr>
      </w:pPr>
    </w:p>
    <w:p w14:paraId="071EA3E6">
      <w:pPr>
        <w:rPr>
          <w:rFonts w:hint="default" w:ascii="Times New Roman" w:hAnsi="Times New Roman" w:eastAsia="方正仿宋_GBK" w:cs="Times New Roman"/>
        </w:rPr>
      </w:pPr>
    </w:p>
    <w:p w14:paraId="6DAA080A">
      <w:pPr>
        <w:rPr>
          <w:rFonts w:hint="default" w:ascii="Times New Roman" w:hAnsi="Times New Roman" w:eastAsia="方正仿宋_GBK" w:cs="Times New Roman"/>
        </w:rPr>
      </w:pPr>
    </w:p>
    <w:p w14:paraId="2F98365E">
      <w:pPr>
        <w:rPr>
          <w:rFonts w:hint="default" w:ascii="Times New Roman" w:hAnsi="Times New Roman" w:eastAsia="方正仿宋_GBK" w:cs="Times New Roman"/>
        </w:rPr>
      </w:pPr>
    </w:p>
    <w:p w14:paraId="4A3301B7">
      <w:pPr>
        <w:rPr>
          <w:rFonts w:hint="default" w:ascii="Times New Roman" w:hAnsi="Times New Roman" w:eastAsia="方正仿宋_GBK" w:cs="Times New Roman"/>
        </w:rPr>
      </w:pPr>
    </w:p>
    <w:p w14:paraId="49185B97">
      <w:pPr>
        <w:rPr>
          <w:rFonts w:hint="default" w:ascii="Times New Roman" w:hAnsi="Times New Roman" w:eastAsia="方正仿宋_GBK" w:cs="Times New Roman"/>
        </w:rPr>
      </w:pPr>
    </w:p>
    <w:p w14:paraId="57EBA5ED">
      <w:pPr>
        <w:rPr>
          <w:rFonts w:ascii="方正仿宋_GBK" w:eastAsia="方正仿宋_GBK"/>
        </w:rPr>
      </w:pPr>
    </w:p>
    <w:p w14:paraId="13941463">
      <w:pPr>
        <w:rPr>
          <w:rFonts w:ascii="方正仿宋_GBK" w:eastAsia="方正仿宋_GBK"/>
        </w:rPr>
      </w:pPr>
    </w:p>
    <w:p w14:paraId="1D961AFB">
      <w:pPr>
        <w:rPr>
          <w:rFonts w:ascii="方正仿宋_GBK" w:eastAsia="方正仿宋_GBK"/>
        </w:rPr>
      </w:pPr>
    </w:p>
    <w:p w14:paraId="3F16A647">
      <w:pPr>
        <w:rPr>
          <w:rFonts w:ascii="方正仿宋_GBK" w:eastAsia="方正仿宋_GBK"/>
        </w:rPr>
      </w:pPr>
    </w:p>
    <w:p w14:paraId="22EB18BB">
      <w:pPr>
        <w:rPr>
          <w:rFonts w:ascii="方正仿宋_GBK" w:eastAsia="方正仿宋_GBK"/>
        </w:rPr>
      </w:pPr>
    </w:p>
    <w:p w14:paraId="6C207156">
      <w:pPr>
        <w:rPr>
          <w:rFonts w:ascii="方正仿宋_GBK" w:eastAsia="方正仿宋_GBK"/>
        </w:rPr>
      </w:pPr>
    </w:p>
    <w:p w14:paraId="66DBBEE1">
      <w:pPr>
        <w:rPr>
          <w:rFonts w:ascii="方正仿宋_GBK" w:eastAsia="方正仿宋_GBK"/>
        </w:rPr>
      </w:pPr>
    </w:p>
    <w:p w14:paraId="786B2F9E">
      <w:pPr>
        <w:adjustRightInd w:val="0"/>
        <w:snapToGrid w:val="0"/>
        <w:spacing w:line="600" w:lineRule="atLeast"/>
        <w:jc w:val="left"/>
        <w:outlineLvl w:val="0"/>
        <w:rPr>
          <w:rFonts w:hint="eastAsia" w:ascii="宋体" w:hAnsi="宋体" w:eastAsia="宋体" w:cs="宋体"/>
          <w:sz w:val="32"/>
          <w:szCs w:val="32"/>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19F670EC">
      <w:pPr>
        <w:adjustRightInd w:val="0"/>
        <w:snapToGrid w:val="0"/>
        <w:spacing w:line="600" w:lineRule="atLeast"/>
        <w:jc w:val="left"/>
        <w:outlineLvl w:val="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附件3：</w:t>
      </w:r>
    </w:p>
    <w:p w14:paraId="539B3B6D">
      <w:pPr>
        <w:adjustRightInd w:val="0"/>
        <w:snapToGrid w:val="0"/>
        <w:spacing w:line="600" w:lineRule="atLeast"/>
        <w:jc w:val="center"/>
        <w:outlineLvl w:val="0"/>
        <w:rPr>
          <w:rFonts w:ascii="Times New Roman" w:hAnsi="Times New Roman" w:eastAsia="方正仿宋_GBK"/>
          <w:sz w:val="32"/>
          <w:szCs w:val="32"/>
        </w:rPr>
      </w:pPr>
    </w:p>
    <w:p w14:paraId="32C4DE2F">
      <w:pPr>
        <w:adjustRightInd w:val="0"/>
        <w:snapToGrid w:val="0"/>
        <w:spacing w:line="600" w:lineRule="atLeast"/>
        <w:jc w:val="center"/>
        <w:outlineLvl w:val="0"/>
        <w:rPr>
          <w:rFonts w:ascii="Times New Roman" w:hAnsi="Times New Roman" w:eastAsia="方正仿宋_GBK"/>
          <w:sz w:val="32"/>
          <w:szCs w:val="32"/>
        </w:rPr>
      </w:pPr>
    </w:p>
    <w:p w14:paraId="23312B20">
      <w:pPr>
        <w:adjustRightInd w:val="0"/>
        <w:snapToGrid w:val="0"/>
        <w:spacing w:line="600" w:lineRule="atLeast"/>
        <w:jc w:val="center"/>
        <w:outlineLvl w:val="0"/>
        <w:rPr>
          <w:rFonts w:ascii="Times New Roman" w:hAnsi="Times New Roman" w:eastAsia="方正仿宋_GBK"/>
          <w:sz w:val="32"/>
          <w:szCs w:val="32"/>
        </w:rPr>
      </w:pPr>
    </w:p>
    <w:p w14:paraId="6E770EA2">
      <w:pPr>
        <w:adjustRightInd w:val="0"/>
        <w:snapToGrid w:val="0"/>
        <w:spacing w:line="600" w:lineRule="atLeast"/>
        <w:jc w:val="center"/>
        <w:outlineLvl w:val="0"/>
        <w:rPr>
          <w:rFonts w:ascii="Times New Roman" w:hAnsi="Times New Roman" w:eastAsia="方正仿宋_GBK"/>
          <w:sz w:val="32"/>
          <w:szCs w:val="32"/>
        </w:rPr>
      </w:pPr>
    </w:p>
    <w:p w14:paraId="76815439">
      <w:pPr>
        <w:adjustRightInd w:val="0"/>
        <w:snapToGrid w:val="0"/>
        <w:spacing w:line="600" w:lineRule="atLeast"/>
        <w:jc w:val="center"/>
        <w:outlineLvl w:val="0"/>
        <w:rPr>
          <w:rFonts w:ascii="Times New Roman" w:hAnsi="Times New Roman" w:eastAsia="方正仿宋_GBK"/>
          <w:sz w:val="32"/>
          <w:szCs w:val="32"/>
        </w:rPr>
      </w:pPr>
    </w:p>
    <w:p w14:paraId="1B95439F">
      <w:pPr>
        <w:adjustRightInd w:val="0"/>
        <w:snapToGrid w:val="0"/>
        <w:spacing w:line="600" w:lineRule="atLeast"/>
        <w:jc w:val="center"/>
        <w:outlineLvl w:val="0"/>
        <w:rPr>
          <w:rFonts w:ascii="Times New Roman" w:hAnsi="Times New Roman" w:eastAsia="方正仿宋_GBK"/>
          <w:sz w:val="32"/>
          <w:szCs w:val="32"/>
        </w:rPr>
      </w:pPr>
      <w:r>
        <w:rPr>
          <w:rFonts w:ascii="Times New Roman" w:hAnsi="Times New Roman" w:eastAsia="方正仿宋_GBK"/>
          <w:sz w:val="32"/>
          <w:szCs w:val="32"/>
        </w:rPr>
        <w:t>渝经信燃气〔2020〕13号</w:t>
      </w:r>
    </w:p>
    <w:p w14:paraId="0CBF3ABD">
      <w:pPr>
        <w:adjustRightInd w:val="0"/>
        <w:snapToGrid w:val="0"/>
        <w:spacing w:line="600" w:lineRule="atLeast"/>
        <w:jc w:val="center"/>
        <w:outlineLvl w:val="0"/>
        <w:rPr>
          <w:rFonts w:ascii="Times New Roman" w:hAnsi="Times New Roman" w:eastAsia="方正仿宋_GBK"/>
          <w:sz w:val="32"/>
          <w:szCs w:val="32"/>
        </w:rPr>
      </w:pPr>
    </w:p>
    <w:p w14:paraId="6E438528">
      <w:pPr>
        <w:adjustRightInd w:val="0"/>
        <w:snapToGrid w:val="0"/>
        <w:spacing w:line="600" w:lineRule="atLeast"/>
        <w:jc w:val="center"/>
        <w:outlineLvl w:val="0"/>
        <w:rPr>
          <w:rFonts w:ascii="Times New Roman" w:hAnsi="Times New Roman" w:eastAsia="方正仿宋_GBK"/>
          <w:sz w:val="32"/>
          <w:szCs w:val="32"/>
        </w:rPr>
      </w:pPr>
    </w:p>
    <w:p w14:paraId="78D99517">
      <w:pPr>
        <w:adjustRightInd w:val="0"/>
        <w:snapToGrid w:val="0"/>
        <w:spacing w:line="560" w:lineRule="atLeast"/>
        <w:jc w:val="center"/>
        <w:outlineLvl w:val="0"/>
        <w:rPr>
          <w:rFonts w:ascii="Times New Roman" w:hAnsi="Times New Roman" w:eastAsia="方正小标宋_GBK"/>
          <w:sz w:val="44"/>
          <w:szCs w:val="52"/>
        </w:rPr>
      </w:pPr>
      <w:r>
        <w:rPr>
          <w:rFonts w:ascii="Times New Roman" w:hAnsi="Times New Roman" w:eastAsia="方正小标宋_GBK"/>
          <w:sz w:val="44"/>
          <w:szCs w:val="52"/>
        </w:rPr>
        <w:t>重庆市经济和信息化委员会</w:t>
      </w:r>
    </w:p>
    <w:p w14:paraId="082ACFD3">
      <w:pPr>
        <w:adjustRightInd w:val="0"/>
        <w:snapToGrid w:val="0"/>
        <w:spacing w:line="560" w:lineRule="atLeast"/>
        <w:jc w:val="center"/>
        <w:outlineLvl w:val="0"/>
        <w:rPr>
          <w:rFonts w:ascii="Times New Roman" w:hAnsi="Times New Roman" w:eastAsia="方正小标宋_GBK"/>
          <w:sz w:val="44"/>
          <w:szCs w:val="52"/>
        </w:rPr>
      </w:pPr>
      <w:r>
        <w:rPr>
          <w:rFonts w:ascii="Times New Roman" w:hAnsi="Times New Roman" w:eastAsia="方正小标宋_GBK"/>
          <w:sz w:val="44"/>
          <w:szCs w:val="52"/>
        </w:rPr>
        <w:t>关于印发《重庆市管道天然气用户设施安装</w:t>
      </w:r>
    </w:p>
    <w:p w14:paraId="00516E06">
      <w:pPr>
        <w:adjustRightInd w:val="0"/>
        <w:snapToGrid w:val="0"/>
        <w:spacing w:line="560" w:lineRule="atLeast"/>
        <w:jc w:val="center"/>
        <w:outlineLvl w:val="0"/>
        <w:rPr>
          <w:rFonts w:ascii="Times New Roman" w:hAnsi="Times New Roman" w:eastAsia="方正小标宋_GBK"/>
          <w:sz w:val="44"/>
          <w:szCs w:val="52"/>
        </w:rPr>
      </w:pPr>
      <w:r>
        <w:rPr>
          <w:rFonts w:ascii="Times New Roman" w:hAnsi="Times New Roman" w:eastAsia="方正小标宋_GBK"/>
          <w:sz w:val="44"/>
          <w:szCs w:val="52"/>
        </w:rPr>
        <w:t>管理规定》的通知</w:t>
      </w:r>
    </w:p>
    <w:p w14:paraId="15329C41">
      <w:pPr>
        <w:adjustRightInd w:val="0"/>
        <w:snapToGrid w:val="0"/>
        <w:spacing w:line="560" w:lineRule="atLeast"/>
        <w:rPr>
          <w:rFonts w:ascii="Times New Roman" w:hAnsi="Times New Roman" w:eastAsia="仿宋_GB2312"/>
          <w:sz w:val="32"/>
          <w:szCs w:val="40"/>
        </w:rPr>
      </w:pPr>
    </w:p>
    <w:p w14:paraId="7FC4BD3D">
      <w:pPr>
        <w:adjustRightInd w:val="0"/>
        <w:snapToGrid w:val="0"/>
        <w:spacing w:line="560" w:lineRule="atLeast"/>
        <w:rPr>
          <w:rFonts w:ascii="Times New Roman" w:hAnsi="Times New Roman" w:eastAsia="方正仿宋_GBK"/>
          <w:sz w:val="32"/>
          <w:szCs w:val="40"/>
        </w:rPr>
      </w:pPr>
      <w:r>
        <w:rPr>
          <w:rFonts w:ascii="Times New Roman" w:hAnsi="Times New Roman" w:eastAsia="方正仿宋_GBK"/>
          <w:color w:val="000000"/>
          <w:sz w:val="32"/>
          <w:szCs w:val="32"/>
        </w:rPr>
        <w:t>各区县（自治县）经济信息委，两江新区、重庆高新区、万盛经开区经信部门，各天然气经营企业，有关单位</w:t>
      </w:r>
      <w:r>
        <w:rPr>
          <w:rFonts w:ascii="Times New Roman" w:hAnsi="Times New Roman" w:eastAsia="方正仿宋_GBK"/>
          <w:sz w:val="32"/>
          <w:szCs w:val="40"/>
        </w:rPr>
        <w:t>：</w:t>
      </w:r>
    </w:p>
    <w:p w14:paraId="20165477">
      <w:pPr>
        <w:adjustRightInd w:val="0"/>
        <w:snapToGrid w:val="0"/>
        <w:spacing w:line="560" w:lineRule="atLeast"/>
        <w:ind w:firstLine="640" w:firstLineChars="200"/>
        <w:rPr>
          <w:rFonts w:ascii="Times New Roman" w:hAnsi="Times New Roman" w:eastAsia="方正仿宋_GBK"/>
          <w:sz w:val="32"/>
          <w:szCs w:val="40"/>
        </w:rPr>
      </w:pPr>
      <w:r>
        <w:rPr>
          <w:rFonts w:ascii="Times New Roman" w:hAnsi="Times New Roman" w:eastAsia="方正仿宋_GBK"/>
          <w:sz w:val="32"/>
          <w:szCs w:val="40"/>
        </w:rPr>
        <w:t>《重庆市管道天然气用户设施安装管理规定》已经市经济信息委2020年第17次党组会议审议通过，现印发给你们，请认真贯彻执行。</w:t>
      </w:r>
    </w:p>
    <w:p w14:paraId="53D26FE8">
      <w:pPr>
        <w:adjustRightInd w:val="0"/>
        <w:snapToGrid w:val="0"/>
        <w:spacing w:line="560" w:lineRule="atLeast"/>
        <w:jc w:val="left"/>
        <w:rPr>
          <w:rFonts w:ascii="Times New Roman" w:hAnsi="Times New Roman" w:eastAsia="方正仿宋_GBK"/>
          <w:kern w:val="0"/>
          <w:sz w:val="32"/>
          <w:szCs w:val="32"/>
        </w:rPr>
      </w:pPr>
    </w:p>
    <w:p w14:paraId="5A063195">
      <w:pPr>
        <w:adjustRightInd w:val="0"/>
        <w:snapToGrid w:val="0"/>
        <w:spacing w:line="560" w:lineRule="atLeast"/>
        <w:ind w:firstLine="640" w:firstLineChars="200"/>
        <w:jc w:val="right"/>
        <w:rPr>
          <w:rFonts w:ascii="Times New Roman" w:hAnsi="Times New Roman" w:eastAsia="方正仿宋_GBK"/>
          <w:kern w:val="0"/>
          <w:sz w:val="32"/>
          <w:szCs w:val="32"/>
        </w:rPr>
      </w:pPr>
      <w:r>
        <w:rPr>
          <w:rFonts w:ascii="Times New Roman" w:hAnsi="Times New Roman" w:eastAsia="方正仿宋_GBK"/>
          <w:kern w:val="0"/>
          <w:sz w:val="32"/>
          <w:szCs w:val="32"/>
        </w:rPr>
        <w:t>重庆市经济和信息化委员会</w:t>
      </w:r>
    </w:p>
    <w:p w14:paraId="43A0BCF0">
      <w:pPr>
        <w:adjustRightInd w:val="0"/>
        <w:snapToGrid w:val="0"/>
        <w:spacing w:line="560" w:lineRule="atLeast"/>
        <w:jc w:val="center"/>
        <w:rPr>
          <w:rFonts w:ascii="Times New Roman" w:hAnsi="Times New Roman" w:eastAsia="方正仿宋_GBK"/>
          <w:kern w:val="0"/>
          <w:sz w:val="32"/>
          <w:szCs w:val="32"/>
        </w:rPr>
      </w:pPr>
      <w:r>
        <w:rPr>
          <w:rFonts w:ascii="Times New Roman" w:hAnsi="Times New Roman" w:eastAsia="方正仿宋_GBK"/>
          <w:kern w:val="0"/>
          <w:sz w:val="32"/>
          <w:szCs w:val="32"/>
        </w:rPr>
        <w:t xml:space="preserve">                              2020年7月28日</w:t>
      </w:r>
    </w:p>
    <w:p w14:paraId="1991578E">
      <w:pPr>
        <w:adjustRightInd w:val="0"/>
        <w:snapToGrid w:val="0"/>
        <w:spacing w:line="560" w:lineRule="atLeast"/>
        <w:jc w:val="center"/>
        <w:rPr>
          <w:rFonts w:ascii="Times New Roman" w:hAnsi="Times New Roman" w:eastAsia="方正仿宋_GBK"/>
          <w:kern w:val="0"/>
          <w:sz w:val="32"/>
          <w:szCs w:val="32"/>
        </w:rPr>
      </w:pPr>
    </w:p>
    <w:p w14:paraId="2F1C9C07">
      <w:pPr>
        <w:adjustRightInd w:val="0"/>
        <w:snapToGrid w:val="0"/>
        <w:spacing w:line="560" w:lineRule="atLeast"/>
        <w:jc w:val="center"/>
        <w:rPr>
          <w:rFonts w:ascii="Times New Roman" w:hAnsi="Times New Roman" w:eastAsia="方正仿宋_GBK"/>
          <w:kern w:val="0"/>
          <w:sz w:val="32"/>
          <w:szCs w:val="32"/>
        </w:rPr>
      </w:pPr>
    </w:p>
    <w:p w14:paraId="069007B6">
      <w:pPr>
        <w:adjustRightInd w:val="0"/>
        <w:snapToGrid w:val="0"/>
        <w:spacing w:line="560" w:lineRule="atLeast"/>
        <w:jc w:val="center"/>
        <w:rPr>
          <w:rFonts w:ascii="Times New Roman" w:hAnsi="Times New Roman" w:eastAsia="方正仿宋_GBK"/>
          <w:kern w:val="0"/>
          <w:sz w:val="32"/>
          <w:szCs w:val="32"/>
        </w:rPr>
      </w:pPr>
    </w:p>
    <w:p w14:paraId="26F582BC">
      <w:pPr>
        <w:adjustRightInd w:val="0"/>
        <w:snapToGrid w:val="0"/>
        <w:spacing w:line="600" w:lineRule="atLeast"/>
        <w:jc w:val="center"/>
        <w:rPr>
          <w:rFonts w:ascii="Times New Roman" w:hAnsi="Times New Roman" w:eastAsia="方正小标宋_GBK"/>
          <w:sz w:val="44"/>
          <w:szCs w:val="44"/>
        </w:rPr>
      </w:pPr>
      <w:r>
        <w:rPr>
          <w:rFonts w:ascii="Times New Roman" w:hAnsi="Times New Roman" w:eastAsia="方正小标宋_GBK"/>
          <w:sz w:val="44"/>
          <w:szCs w:val="44"/>
        </w:rPr>
        <w:t>重庆市管道天然气用户设施安装管理规定</w:t>
      </w:r>
    </w:p>
    <w:p w14:paraId="10683DD5">
      <w:pPr>
        <w:adjustRightInd w:val="0"/>
        <w:snapToGrid w:val="0"/>
        <w:spacing w:line="600" w:lineRule="atLeast"/>
        <w:ind w:firstLine="640" w:firstLineChars="200"/>
        <w:rPr>
          <w:rFonts w:ascii="Times New Roman" w:hAnsi="Times New Roman" w:eastAsia="仿宋_GB2312"/>
          <w:sz w:val="32"/>
          <w:szCs w:val="32"/>
        </w:rPr>
      </w:pPr>
    </w:p>
    <w:p w14:paraId="21B79194">
      <w:pPr>
        <w:adjustRightInd w:val="0"/>
        <w:snapToGrid w:val="0"/>
        <w:spacing w:line="600" w:lineRule="atLeast"/>
        <w:jc w:val="center"/>
        <w:outlineLvl w:val="0"/>
        <w:rPr>
          <w:rFonts w:ascii="Times New Roman" w:hAnsi="Times New Roman" w:eastAsia="方正黑体_GBK"/>
          <w:sz w:val="32"/>
          <w:szCs w:val="32"/>
        </w:rPr>
      </w:pPr>
      <w:r>
        <w:rPr>
          <w:rFonts w:ascii="Times New Roman" w:hAnsi="Times New Roman" w:eastAsia="方正黑体_GBK"/>
          <w:sz w:val="32"/>
          <w:szCs w:val="32"/>
        </w:rPr>
        <w:t>第一章 总则</w:t>
      </w:r>
    </w:p>
    <w:p w14:paraId="4441EA47">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第一条</w:t>
      </w:r>
      <w:r>
        <w:rPr>
          <w:rFonts w:ascii="Times New Roman" w:hAnsi="Times New Roman" w:eastAsia="方正仿宋_GBK"/>
          <w:sz w:val="32"/>
          <w:szCs w:val="32"/>
        </w:rPr>
        <w:t xml:space="preserve"> 为加强本市管道天然气用户设施安装管理，根据《中华人民共和国建筑法》《建设工程质量管理条例》《建设工程安全生产管理条例》《城镇燃气管理条例》《重庆市天然气管理条例》《重庆市城市管线条例》，结合本市天然气行业管理实际，制定本规定。</w:t>
      </w:r>
    </w:p>
    <w:p w14:paraId="35462E30">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第二条</w:t>
      </w:r>
      <w:r>
        <w:rPr>
          <w:rFonts w:ascii="Times New Roman" w:hAnsi="Times New Roman" w:eastAsia="方正仿宋_GBK"/>
          <w:sz w:val="32"/>
          <w:szCs w:val="32"/>
        </w:rPr>
        <w:t xml:space="preserve"> 本规定所称管道天然气用户设施是指从接气点（用气接入点）到天然气用户户内用气设备之间的天然气设施。管道天然气用户包括</w:t>
      </w:r>
      <w:r>
        <w:rPr>
          <w:rFonts w:ascii="Times New Roman" w:hAnsi="Times New Roman" w:eastAsia="方正仿宋_GBK"/>
          <w:color w:val="000000"/>
          <w:sz w:val="32"/>
          <w:szCs w:val="32"/>
        </w:rPr>
        <w:t>居民小区、商业综合体的建设单位和工商用户、居民用户</w:t>
      </w:r>
      <w:r>
        <w:rPr>
          <w:rFonts w:ascii="Times New Roman" w:hAnsi="Times New Roman" w:eastAsia="方正仿宋_GBK"/>
          <w:sz w:val="32"/>
          <w:szCs w:val="32"/>
        </w:rPr>
        <w:t>。</w:t>
      </w:r>
    </w:p>
    <w:p w14:paraId="41B39E8F">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仿宋_GBK"/>
          <w:sz w:val="32"/>
          <w:szCs w:val="32"/>
        </w:rPr>
        <w:t>本规定所称安装单位是指开展管道天然气用户设施工程勘察、设计、施工、监理及其他相关服务的单位。</w:t>
      </w:r>
    </w:p>
    <w:p w14:paraId="24543AC6">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第三条</w:t>
      </w:r>
      <w:r>
        <w:rPr>
          <w:rFonts w:ascii="Times New Roman" w:hAnsi="Times New Roman" w:eastAsia="方正仿宋_GBK"/>
          <w:sz w:val="32"/>
          <w:szCs w:val="32"/>
        </w:rPr>
        <w:t xml:space="preserve"> 管道天然气用户应当委托具有相应资质的单位，</w:t>
      </w:r>
      <w:r>
        <w:rPr>
          <w:rFonts w:ascii="Times New Roman" w:hAnsi="Times New Roman" w:eastAsia="方正仿宋_GBK"/>
          <w:sz w:val="32"/>
          <w:szCs w:val="32"/>
          <w:lang w:val="zh-CN"/>
        </w:rPr>
        <w:t>按照国家有关工程建设标准和规范</w:t>
      </w:r>
      <w:r>
        <w:rPr>
          <w:rFonts w:ascii="Times New Roman" w:hAnsi="Times New Roman" w:eastAsia="方正仿宋_GBK"/>
          <w:sz w:val="32"/>
          <w:szCs w:val="32"/>
        </w:rPr>
        <w:t>开展天然气设施安装。</w:t>
      </w:r>
    </w:p>
    <w:p w14:paraId="08DD8936">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仿宋_GBK"/>
          <w:sz w:val="32"/>
          <w:szCs w:val="32"/>
        </w:rPr>
        <w:t>安装单位应当依法取得相应资质，配备与业务规模相适应的专业技术人员，在开展业务活动时应当主动出示企业资质证书、人员资格证书、收费标准、服务承诺等资料。</w:t>
      </w:r>
    </w:p>
    <w:p w14:paraId="5A63FA5E">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第四条</w:t>
      </w:r>
      <w:r>
        <w:rPr>
          <w:rFonts w:ascii="Times New Roman" w:hAnsi="Times New Roman" w:eastAsia="方正仿宋_GBK"/>
          <w:sz w:val="32"/>
          <w:szCs w:val="32"/>
        </w:rPr>
        <w:t xml:space="preserve"> 鼓励具有天然气工程综合服务能力的市场主体，提供勘察、设计、施工、监理、竣工验收等一体化安装服务。</w:t>
      </w:r>
    </w:p>
    <w:p w14:paraId="7042FD3E">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第五条</w:t>
      </w:r>
      <w:r>
        <w:rPr>
          <w:rFonts w:ascii="Times New Roman" w:hAnsi="Times New Roman" w:eastAsia="方正仿宋_GBK"/>
          <w:sz w:val="32"/>
          <w:szCs w:val="32"/>
        </w:rPr>
        <w:t xml:space="preserve"> 安装单位对其承接的服务内容，依法承担相应的安全质量责任。</w:t>
      </w:r>
    </w:p>
    <w:p w14:paraId="4CF9199E">
      <w:pPr>
        <w:adjustRightInd w:val="0"/>
        <w:snapToGrid w:val="0"/>
        <w:spacing w:line="600" w:lineRule="atLeast"/>
        <w:jc w:val="center"/>
        <w:outlineLvl w:val="0"/>
        <w:rPr>
          <w:rFonts w:ascii="Times New Roman" w:hAnsi="Times New Roman" w:eastAsia="方正仿宋_GBK"/>
          <w:sz w:val="32"/>
          <w:szCs w:val="32"/>
        </w:rPr>
      </w:pPr>
    </w:p>
    <w:p w14:paraId="62FED37A">
      <w:pPr>
        <w:adjustRightInd w:val="0"/>
        <w:snapToGrid w:val="0"/>
        <w:spacing w:line="600" w:lineRule="atLeast"/>
        <w:jc w:val="center"/>
        <w:outlineLvl w:val="0"/>
        <w:rPr>
          <w:rFonts w:ascii="Times New Roman" w:hAnsi="Times New Roman" w:eastAsia="方正黑体_GBK"/>
          <w:sz w:val="32"/>
          <w:szCs w:val="32"/>
        </w:rPr>
      </w:pPr>
      <w:r>
        <w:rPr>
          <w:rFonts w:ascii="Times New Roman" w:hAnsi="Times New Roman" w:eastAsia="方正黑体_GBK"/>
          <w:sz w:val="32"/>
          <w:szCs w:val="32"/>
        </w:rPr>
        <w:t>第二章 安装单位目录清单</w:t>
      </w:r>
    </w:p>
    <w:p w14:paraId="4FE32A0D">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第六条</w:t>
      </w:r>
      <w:r>
        <w:rPr>
          <w:rFonts w:ascii="Times New Roman" w:hAnsi="Times New Roman" w:eastAsia="方正仿宋_GBK"/>
          <w:sz w:val="32"/>
          <w:szCs w:val="32"/>
        </w:rPr>
        <w:t xml:space="preserve"> 区县（自治县）天然气管理部门通过公开征集、自愿申报的方式，发布、更新具有相应资质的安装单位目录清单，方便管道天然气用户选择。目录清单为指导性清单，用户可自主选择目录清单内或目录清单外符合条件的安装单位，任何单位和个人不得指定。</w:t>
      </w:r>
    </w:p>
    <w:p w14:paraId="4FAFF070">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第七条</w:t>
      </w:r>
      <w:r>
        <w:rPr>
          <w:rFonts w:ascii="Times New Roman" w:hAnsi="Times New Roman" w:eastAsia="方正仿宋_GBK"/>
          <w:sz w:val="32"/>
          <w:szCs w:val="32"/>
        </w:rPr>
        <w:t xml:space="preserve"> 自愿纳入目录清单的安装单位应符合以下条件：</w:t>
      </w:r>
    </w:p>
    <w:p w14:paraId="477FF839">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仿宋_GBK"/>
          <w:sz w:val="32"/>
          <w:szCs w:val="32"/>
        </w:rPr>
        <w:t>（一）有独立承担民事责任能力；</w:t>
      </w:r>
    </w:p>
    <w:p w14:paraId="4050DDFA">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仿宋_GBK"/>
          <w:sz w:val="32"/>
          <w:szCs w:val="32"/>
        </w:rPr>
        <w:t>（二）有从事相关业务的资质证书；</w:t>
      </w:r>
    </w:p>
    <w:p w14:paraId="122AB3A6">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仿宋_GBK"/>
          <w:sz w:val="32"/>
          <w:szCs w:val="32"/>
        </w:rPr>
        <w:t>（三）有健全的企业管理制度和质量保证体系；</w:t>
      </w:r>
    </w:p>
    <w:p w14:paraId="52A3DC4B">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仿宋_GBK"/>
          <w:sz w:val="32"/>
          <w:szCs w:val="32"/>
        </w:rPr>
        <w:t>（四）有从事相关业务的设备机具和专业技术能力；</w:t>
      </w:r>
    </w:p>
    <w:p w14:paraId="6B8BFC82">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仿宋_GBK"/>
          <w:sz w:val="32"/>
          <w:szCs w:val="32"/>
        </w:rPr>
        <w:t>（五）信用良好，未被纳入严重违法失信企业名单；</w:t>
      </w:r>
    </w:p>
    <w:p w14:paraId="4D62040E">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仿宋_GBK"/>
          <w:sz w:val="32"/>
          <w:szCs w:val="32"/>
        </w:rPr>
        <w:t>（六）近三年未发生过生产安全事故或工程质量事故；</w:t>
      </w:r>
    </w:p>
    <w:p w14:paraId="76DB164C">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仿宋_GBK"/>
          <w:sz w:val="32"/>
          <w:szCs w:val="32"/>
        </w:rPr>
        <w:t>（七）法律法规规定应当具备的其他条件。</w:t>
      </w:r>
    </w:p>
    <w:p w14:paraId="51630D6F">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第八条</w:t>
      </w:r>
      <w:r>
        <w:rPr>
          <w:rFonts w:ascii="Times New Roman" w:hAnsi="Times New Roman" w:eastAsia="方正仿宋_GBK"/>
          <w:sz w:val="32"/>
          <w:szCs w:val="32"/>
        </w:rPr>
        <w:t xml:space="preserve"> 区县（自治县）天然气管理部门每年发布征集通知，自愿纳入目录清单的安装单位根据通知报送申报材料，并对材料真实性负责。</w:t>
      </w:r>
    </w:p>
    <w:p w14:paraId="7EE4B770">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第九条</w:t>
      </w:r>
      <w:r>
        <w:rPr>
          <w:rFonts w:ascii="Times New Roman" w:hAnsi="Times New Roman" w:eastAsia="方正仿宋_GBK"/>
          <w:sz w:val="32"/>
          <w:szCs w:val="32"/>
        </w:rPr>
        <w:t xml:space="preserve"> 区县（自治县）天然气管理部门应当对安装单位申报材料进行审核，审核通过且经公示5个工作日无异议的，纳入安装单位目录清单并向社会公布。目录清单内容主要包括安装单位基本情况、业务范围、服务承诺等信息。</w:t>
      </w:r>
    </w:p>
    <w:p w14:paraId="4C947534">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第十条</w:t>
      </w:r>
      <w:r>
        <w:rPr>
          <w:rFonts w:ascii="Times New Roman" w:hAnsi="Times New Roman" w:eastAsia="方正仿宋_GBK"/>
          <w:sz w:val="32"/>
          <w:szCs w:val="32"/>
        </w:rPr>
        <w:t xml:space="preserve"> 区县（自治县）天然气管理部门对目录清单实行动态管理，已纳入目录清单的安装单位信息发生变化时，应及时更新；不再符合纳入目录清单条件的，应及时移出目录清单。</w:t>
      </w:r>
    </w:p>
    <w:p w14:paraId="549AFDFB">
      <w:pPr>
        <w:adjustRightInd w:val="0"/>
        <w:snapToGrid w:val="0"/>
        <w:spacing w:line="600" w:lineRule="atLeast"/>
        <w:jc w:val="center"/>
        <w:outlineLvl w:val="0"/>
        <w:rPr>
          <w:rFonts w:ascii="Times New Roman" w:hAnsi="Times New Roman" w:eastAsia="方正仿宋_GBK"/>
          <w:sz w:val="32"/>
          <w:szCs w:val="32"/>
        </w:rPr>
      </w:pPr>
    </w:p>
    <w:p w14:paraId="2AD9D55F">
      <w:pPr>
        <w:adjustRightInd w:val="0"/>
        <w:snapToGrid w:val="0"/>
        <w:spacing w:line="600" w:lineRule="atLeast"/>
        <w:jc w:val="center"/>
        <w:outlineLvl w:val="0"/>
        <w:rPr>
          <w:rFonts w:ascii="Times New Roman" w:hAnsi="Times New Roman" w:eastAsia="方正黑体_GBK"/>
          <w:sz w:val="32"/>
          <w:szCs w:val="32"/>
        </w:rPr>
      </w:pPr>
      <w:r>
        <w:rPr>
          <w:rFonts w:ascii="Times New Roman" w:hAnsi="Times New Roman" w:eastAsia="方正黑体_GBK"/>
          <w:sz w:val="32"/>
          <w:szCs w:val="32"/>
        </w:rPr>
        <w:t>第三章 设施安装</w:t>
      </w:r>
    </w:p>
    <w:p w14:paraId="1B4153FA">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第十一条</w:t>
      </w:r>
      <w:r>
        <w:rPr>
          <w:rFonts w:ascii="Times New Roman" w:hAnsi="Times New Roman" w:eastAsia="方正仿宋_GBK"/>
          <w:sz w:val="32"/>
          <w:szCs w:val="32"/>
        </w:rPr>
        <w:t xml:space="preserve"> 管道天然气用户（除居民用户）向管道天然气经营企业提出用气申请，管道天然气经营企业经现场勘查后商议提出接气方案。</w:t>
      </w:r>
    </w:p>
    <w:p w14:paraId="076FE7F9">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仿宋_GBK"/>
          <w:sz w:val="32"/>
          <w:szCs w:val="32"/>
        </w:rPr>
        <w:t>接气方案应包括接气点空间坐标、接气点系统压力、管径、材质等内容以及管道天然气用户设施应当符合国家有关工程建设标准和规范的要求。</w:t>
      </w:r>
    </w:p>
    <w:p w14:paraId="11A796D5">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第十二条</w:t>
      </w:r>
      <w:r>
        <w:rPr>
          <w:rFonts w:ascii="Times New Roman" w:hAnsi="Times New Roman" w:eastAsia="方正仿宋_GBK"/>
          <w:sz w:val="32"/>
          <w:szCs w:val="32"/>
        </w:rPr>
        <w:t xml:space="preserve"> 管道天然气用户设施设计单位应当依据接气方案（居民用户依据用气环境）开展设计，设计文件应符合国家有关工程建设标准和规范的要求。</w:t>
      </w:r>
    </w:p>
    <w:p w14:paraId="147F649A">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仿宋_GBK"/>
          <w:sz w:val="32"/>
          <w:szCs w:val="32"/>
        </w:rPr>
        <w:t>管道天然气用户（除居民用户）可就设计文件是否符合接气方案听取管道天然气经营企业意见，管道天然气经营企业应主动反馈意见，时间原则上不超过3个工作日。</w:t>
      </w:r>
    </w:p>
    <w:p w14:paraId="0A8F7BB1">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第十三条</w:t>
      </w:r>
      <w:r>
        <w:rPr>
          <w:rFonts w:ascii="Times New Roman" w:hAnsi="Times New Roman" w:eastAsia="方正仿宋_GBK"/>
          <w:sz w:val="32"/>
          <w:szCs w:val="32"/>
        </w:rPr>
        <w:t xml:space="preserve"> 管道天然气用户设施施工应严格按照国家有关工程建设标准和规范的要求进行。</w:t>
      </w:r>
    </w:p>
    <w:p w14:paraId="05F62CEA">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第十四条</w:t>
      </w:r>
      <w:r>
        <w:rPr>
          <w:rFonts w:ascii="Times New Roman" w:hAnsi="Times New Roman" w:eastAsia="方正仿宋_GBK"/>
          <w:sz w:val="32"/>
          <w:szCs w:val="32"/>
        </w:rPr>
        <w:t xml:space="preserve"> 管道天然气用户设施所用材料、设备应符合国家现行有关标准及设计文件的规定，且必须具有生产厂家产品合格证明或经法定检测机构出具的检测合格报告。</w:t>
      </w:r>
    </w:p>
    <w:p w14:paraId="23FAB999">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第十五条</w:t>
      </w:r>
      <w:r>
        <w:rPr>
          <w:rFonts w:ascii="Times New Roman" w:hAnsi="Times New Roman" w:eastAsia="方正仿宋_GBK"/>
          <w:sz w:val="32"/>
          <w:szCs w:val="32"/>
        </w:rPr>
        <w:t xml:space="preserve"> 管道天然气用户设施隐蔽工程隐蔽前，施工单位应通知管道天然气用户或监理单位、建设工程质量监督机构对隐蔽工程进行检查，检查不符合相关标准、规范的，隐蔽工程不得隐蔽。</w:t>
      </w:r>
    </w:p>
    <w:p w14:paraId="5B5A6B97">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仿宋_GBK"/>
          <w:sz w:val="32"/>
          <w:szCs w:val="32"/>
        </w:rPr>
        <w:t>鼓励管道天然气经营企业参与以下管道天然气用户设施隐蔽工程隐蔽前查勘，提出查勘意见：</w:t>
      </w:r>
    </w:p>
    <w:p w14:paraId="38AEB6D0">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仿宋_GBK"/>
          <w:sz w:val="32"/>
          <w:szCs w:val="32"/>
        </w:rPr>
        <w:t>（一）居民小区或商业综合体管道天然气设施；</w:t>
      </w:r>
    </w:p>
    <w:p w14:paraId="044D3078">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仿宋_GBK"/>
          <w:sz w:val="32"/>
          <w:szCs w:val="32"/>
        </w:rPr>
        <w:t>（二）工商用户天然气计量表前管道天然气设施。</w:t>
      </w:r>
    </w:p>
    <w:p w14:paraId="6EF4A20F">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第十六条</w:t>
      </w:r>
      <w:r>
        <w:rPr>
          <w:rFonts w:ascii="Times New Roman" w:hAnsi="Times New Roman" w:eastAsia="方正仿宋_GBK"/>
          <w:sz w:val="32"/>
          <w:szCs w:val="32"/>
        </w:rPr>
        <w:t xml:space="preserve"> 管道天然气用户设施安装单位应按照工程管理相关规定，做好档案资料的收集、整理。</w:t>
      </w:r>
    </w:p>
    <w:p w14:paraId="08D4888D">
      <w:pPr>
        <w:adjustRightInd w:val="0"/>
        <w:snapToGrid w:val="0"/>
        <w:spacing w:line="600" w:lineRule="atLeast"/>
        <w:jc w:val="center"/>
        <w:outlineLvl w:val="0"/>
        <w:rPr>
          <w:rFonts w:ascii="Times New Roman" w:hAnsi="Times New Roman" w:eastAsia="方正仿宋_GBK"/>
          <w:sz w:val="32"/>
          <w:szCs w:val="32"/>
        </w:rPr>
      </w:pPr>
    </w:p>
    <w:p w14:paraId="08C8C518">
      <w:pPr>
        <w:adjustRightInd w:val="0"/>
        <w:snapToGrid w:val="0"/>
        <w:spacing w:line="600" w:lineRule="atLeast"/>
        <w:jc w:val="center"/>
        <w:outlineLvl w:val="0"/>
        <w:rPr>
          <w:rFonts w:ascii="Times New Roman" w:hAnsi="Times New Roman" w:eastAsia="方正黑体_GBK"/>
          <w:sz w:val="32"/>
          <w:szCs w:val="32"/>
        </w:rPr>
      </w:pPr>
      <w:r>
        <w:rPr>
          <w:rFonts w:ascii="Times New Roman" w:hAnsi="Times New Roman" w:eastAsia="方正黑体_GBK"/>
          <w:sz w:val="32"/>
          <w:szCs w:val="32"/>
        </w:rPr>
        <w:t>第四章 竣工验收和资料移交</w:t>
      </w:r>
    </w:p>
    <w:p w14:paraId="7B5C9BDA">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第十七条</w:t>
      </w:r>
      <w:r>
        <w:rPr>
          <w:rFonts w:ascii="Times New Roman" w:hAnsi="Times New Roman" w:eastAsia="方正仿宋_GBK"/>
          <w:sz w:val="32"/>
          <w:szCs w:val="32"/>
        </w:rPr>
        <w:t xml:space="preserve"> 管道天然气用户设施安装完工后，管道天然气用户应按照国家有关工程建设标准和规范规定的程序和要求，组织相关单位进行竣工验收。竣工验收通过的，验收参与方应签署竣工验收意见。</w:t>
      </w:r>
    </w:p>
    <w:p w14:paraId="7AD02891">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仿宋_GBK"/>
          <w:sz w:val="32"/>
          <w:szCs w:val="32"/>
        </w:rPr>
        <w:t>管道天然气经营企业应当参与除居民用户以外的管道天然气用户设施竣工验收，并提出意见。</w:t>
      </w:r>
    </w:p>
    <w:p w14:paraId="288DBD34">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第十八条</w:t>
      </w:r>
      <w:r>
        <w:rPr>
          <w:rFonts w:ascii="Times New Roman" w:hAnsi="Times New Roman" w:eastAsia="方正仿宋_GBK"/>
          <w:sz w:val="32"/>
          <w:szCs w:val="32"/>
        </w:rPr>
        <w:t xml:space="preserve"> 竣工验收前，施工单位应出具质量保修书。质量保修书中应当明确用气设施安装的保修范围、保修期限和保修责任等。</w:t>
      </w:r>
    </w:p>
    <w:p w14:paraId="50BF8C00">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第十九条</w:t>
      </w:r>
      <w:r>
        <w:rPr>
          <w:rFonts w:ascii="Times New Roman" w:hAnsi="Times New Roman" w:eastAsia="方正仿宋_GBK"/>
          <w:sz w:val="32"/>
          <w:szCs w:val="32"/>
        </w:rPr>
        <w:t xml:space="preserve"> 管道天然气用户设施通过竣工验收需要开通用气的，管道天然气用户应向管道天然气经营企业申请通气验收，验收合格的，管道天然气经营企业应当予以接驳通气；未经验收或验收不合格的，禁止通气。</w:t>
      </w:r>
    </w:p>
    <w:p w14:paraId="560D5256">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第二十条</w:t>
      </w:r>
      <w:r>
        <w:rPr>
          <w:rFonts w:ascii="Times New Roman" w:hAnsi="Times New Roman" w:eastAsia="方正仿宋_GBK"/>
          <w:sz w:val="32"/>
          <w:szCs w:val="32"/>
        </w:rPr>
        <w:t xml:space="preserve"> 管道天然气用户设施涉及外线天然气工程的，管道天然气用户应按照《重庆市城市管线条例》有关要求，及时向城乡建设档案管理机构移交外线天然气工程的管线资料。</w:t>
      </w:r>
    </w:p>
    <w:p w14:paraId="59081AB9">
      <w:pPr>
        <w:adjustRightInd w:val="0"/>
        <w:snapToGrid w:val="0"/>
        <w:spacing w:line="600" w:lineRule="atLeast"/>
        <w:jc w:val="center"/>
        <w:outlineLvl w:val="0"/>
        <w:rPr>
          <w:rFonts w:ascii="Times New Roman" w:hAnsi="Times New Roman" w:eastAsia="方正仿宋_GBK"/>
          <w:sz w:val="32"/>
          <w:szCs w:val="32"/>
        </w:rPr>
      </w:pPr>
    </w:p>
    <w:p w14:paraId="7A772D30">
      <w:pPr>
        <w:adjustRightInd w:val="0"/>
        <w:snapToGrid w:val="0"/>
        <w:spacing w:line="600" w:lineRule="atLeast"/>
        <w:jc w:val="center"/>
        <w:outlineLvl w:val="0"/>
        <w:rPr>
          <w:rFonts w:ascii="Times New Roman" w:hAnsi="Times New Roman" w:eastAsia="方正黑体_GBK"/>
          <w:sz w:val="32"/>
          <w:szCs w:val="32"/>
        </w:rPr>
      </w:pPr>
      <w:r>
        <w:rPr>
          <w:rFonts w:ascii="Times New Roman" w:hAnsi="Times New Roman" w:eastAsia="方正黑体_GBK"/>
          <w:sz w:val="32"/>
          <w:szCs w:val="32"/>
        </w:rPr>
        <w:t>第五章 监督管理</w:t>
      </w:r>
    </w:p>
    <w:p w14:paraId="68B9BDAE">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第二十一条</w:t>
      </w:r>
      <w:r>
        <w:rPr>
          <w:rFonts w:ascii="Times New Roman" w:hAnsi="Times New Roman" w:eastAsia="方正仿宋_GBK"/>
          <w:sz w:val="32"/>
          <w:szCs w:val="32"/>
        </w:rPr>
        <w:t xml:space="preserve"> 管道天然气经营企业应加强内部管控，优化服务，不得在服务中设置或变相设置违法违规限制性条件或不合理收费名目。</w:t>
      </w:r>
    </w:p>
    <w:p w14:paraId="5884A566">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第二十二条</w:t>
      </w:r>
      <w:r>
        <w:rPr>
          <w:rFonts w:ascii="Times New Roman" w:hAnsi="Times New Roman" w:eastAsia="方正仿宋_GBK"/>
          <w:sz w:val="32"/>
          <w:szCs w:val="32"/>
        </w:rPr>
        <w:t xml:space="preserve"> 区县（自治县）天然气管理部门应当对辖区内从事管道天然气用户设施安装业务的安装单位建立基本信息档案，实行跟踪管理。</w:t>
      </w:r>
    </w:p>
    <w:p w14:paraId="1AE90119">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第二十三条</w:t>
      </w:r>
      <w:r>
        <w:rPr>
          <w:rFonts w:ascii="Times New Roman" w:hAnsi="Times New Roman" w:eastAsia="方正仿宋_GBK"/>
          <w:sz w:val="32"/>
          <w:szCs w:val="32"/>
        </w:rPr>
        <w:t xml:space="preserve"> 区县（自治县）天然气管理部门应对安装单位资质、专业技术人员资格，以及安装质量有关的文件、资料等进行检查，安装单位应当予以配合。</w:t>
      </w:r>
    </w:p>
    <w:p w14:paraId="3A3CC291">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第二十四条</w:t>
      </w:r>
      <w:r>
        <w:rPr>
          <w:rFonts w:ascii="Times New Roman" w:hAnsi="Times New Roman" w:eastAsia="方正仿宋_GBK"/>
          <w:sz w:val="32"/>
          <w:szCs w:val="32"/>
        </w:rPr>
        <w:t xml:space="preserve"> 区县（自治县）天然气管理部门监督检查中发现安装单位违反相关法律、法规、规章规定的，应及时查处。对涉及其他管理部门职能的，应及时移交相关部门。</w:t>
      </w:r>
    </w:p>
    <w:p w14:paraId="4147B35A">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第二十五条</w:t>
      </w:r>
      <w:r>
        <w:rPr>
          <w:rFonts w:ascii="Times New Roman" w:hAnsi="Times New Roman" w:eastAsia="方正仿宋_GBK"/>
          <w:sz w:val="32"/>
          <w:szCs w:val="32"/>
        </w:rPr>
        <w:t xml:space="preserve"> 任何单位和个人对违法违规从事安装业务的，可向属地区县（自治县）天然气管理部门投诉、举报，区县（自治县）天然气管理部门应当及时核实、处理。</w:t>
      </w:r>
    </w:p>
    <w:p w14:paraId="6FC71FEC">
      <w:pPr>
        <w:adjustRightInd w:val="0"/>
        <w:snapToGrid w:val="0"/>
        <w:spacing w:line="600" w:lineRule="atLeast"/>
        <w:jc w:val="center"/>
        <w:outlineLvl w:val="0"/>
        <w:rPr>
          <w:rFonts w:ascii="Times New Roman" w:hAnsi="Times New Roman" w:eastAsia="方正仿宋_GBK"/>
          <w:sz w:val="32"/>
          <w:szCs w:val="32"/>
        </w:rPr>
      </w:pPr>
    </w:p>
    <w:p w14:paraId="0E7DD39C">
      <w:pPr>
        <w:adjustRightInd w:val="0"/>
        <w:snapToGrid w:val="0"/>
        <w:spacing w:line="600" w:lineRule="atLeast"/>
        <w:jc w:val="center"/>
        <w:outlineLvl w:val="0"/>
        <w:rPr>
          <w:rFonts w:ascii="Times New Roman" w:hAnsi="Times New Roman" w:eastAsia="方正黑体_GBK"/>
          <w:sz w:val="32"/>
          <w:szCs w:val="32"/>
        </w:rPr>
      </w:pPr>
      <w:r>
        <w:rPr>
          <w:rFonts w:ascii="Times New Roman" w:hAnsi="Times New Roman" w:eastAsia="方正黑体_GBK"/>
          <w:sz w:val="32"/>
          <w:szCs w:val="32"/>
        </w:rPr>
        <w:t>第六章 附则</w:t>
      </w:r>
    </w:p>
    <w:p w14:paraId="780C27B3">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第二十六条</w:t>
      </w:r>
      <w:r>
        <w:rPr>
          <w:rFonts w:ascii="Times New Roman" w:hAnsi="Times New Roman" w:eastAsia="方正仿宋_GBK"/>
          <w:sz w:val="32"/>
          <w:szCs w:val="32"/>
        </w:rPr>
        <w:t xml:space="preserve"> 改装、拆除管道天然气用户设施应当委托具有相应资质的单位实施，涉及设计、施工、竣工验收等事项的，按照相关规定执行。改装、拆除已投用的管道天然气用户设施，应与管道天然气经营企业商议停气、恢复用气、销户等事宜，禁止不符合安全规定的带气作业。</w:t>
      </w:r>
    </w:p>
    <w:p w14:paraId="58E8FE30">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第二十七条</w:t>
      </w:r>
      <w:r>
        <w:rPr>
          <w:rFonts w:ascii="Times New Roman" w:hAnsi="Times New Roman" w:eastAsia="方正仿宋_GBK"/>
          <w:sz w:val="32"/>
          <w:szCs w:val="32"/>
        </w:rPr>
        <w:t xml:space="preserve"> 本规定所称区县（自治县）天然气管理部门包括各区县（自治县）以及两江新区、重庆高新区、万盛经开区天然气管理部门。</w:t>
      </w:r>
    </w:p>
    <w:p w14:paraId="5FAA779D">
      <w:pPr>
        <w:adjustRightInd w:val="0"/>
        <w:snapToGrid w:val="0"/>
        <w:spacing w:line="600" w:lineRule="atLeast"/>
        <w:ind w:firstLine="640" w:firstLineChars="200"/>
        <w:rPr>
          <w:rFonts w:ascii="Times New Roman" w:hAnsi="Times New Roman" w:eastAsia="方正仿宋_GBK"/>
          <w:sz w:val="32"/>
          <w:szCs w:val="32"/>
        </w:rPr>
      </w:pPr>
      <w:r>
        <w:rPr>
          <w:rFonts w:ascii="Times New Roman" w:hAnsi="Times New Roman" w:eastAsia="方正黑体_GBK"/>
          <w:sz w:val="32"/>
          <w:szCs w:val="32"/>
        </w:rPr>
        <w:t>第二十八条</w:t>
      </w:r>
      <w:r>
        <w:rPr>
          <w:rFonts w:ascii="Times New Roman" w:hAnsi="Times New Roman" w:eastAsia="方正仿宋_GBK"/>
          <w:sz w:val="32"/>
          <w:szCs w:val="32"/>
        </w:rPr>
        <w:t xml:space="preserve"> 本规定自公布之日起30日后施行。</w:t>
      </w:r>
    </w:p>
    <w:p w14:paraId="7D472EE5">
      <w:pPr>
        <w:adjustRightInd w:val="0"/>
        <w:snapToGrid w:val="0"/>
        <w:spacing w:line="600" w:lineRule="atLeast"/>
        <w:rPr>
          <w:rFonts w:ascii="Times New Roman" w:hAnsi="Times New Roman"/>
        </w:rPr>
      </w:pPr>
    </w:p>
    <w:p w14:paraId="12919A83">
      <w:pPr>
        <w:adjustRightInd w:val="0"/>
        <w:snapToGrid w:val="0"/>
        <w:spacing w:line="600" w:lineRule="atLeast"/>
        <w:rPr>
          <w:rFonts w:ascii="Times New Roman" w:hAnsi="Times New Roman"/>
        </w:rPr>
      </w:pPr>
    </w:p>
    <w:p w14:paraId="1F054207">
      <w:pPr>
        <w:adjustRightInd w:val="0"/>
        <w:snapToGrid w:val="0"/>
        <w:spacing w:line="600" w:lineRule="atLeast"/>
        <w:rPr>
          <w:rFonts w:ascii="Times New Roman" w:hAnsi="Times New Roman"/>
        </w:rPr>
      </w:pPr>
    </w:p>
    <w:p w14:paraId="5830140D">
      <w:pPr>
        <w:adjustRightInd w:val="0"/>
        <w:snapToGrid w:val="0"/>
        <w:spacing w:line="600" w:lineRule="atLeast"/>
        <w:rPr>
          <w:rFonts w:ascii="Times New Roman" w:hAnsi="Times New Roman"/>
        </w:rPr>
      </w:pPr>
    </w:p>
    <w:p w14:paraId="6012FD5E">
      <w:pPr>
        <w:adjustRightInd w:val="0"/>
        <w:snapToGrid w:val="0"/>
        <w:spacing w:line="600" w:lineRule="atLeast"/>
        <w:rPr>
          <w:rFonts w:ascii="Times New Roman" w:hAnsi="Times New Roman"/>
        </w:rPr>
      </w:pPr>
    </w:p>
    <w:p w14:paraId="48D9A077">
      <w:pPr>
        <w:adjustRightInd w:val="0"/>
        <w:snapToGrid w:val="0"/>
        <w:spacing w:line="600" w:lineRule="atLeast"/>
        <w:rPr>
          <w:rFonts w:ascii="Times New Roman" w:hAnsi="Times New Roman"/>
        </w:rPr>
      </w:pPr>
    </w:p>
    <w:p w14:paraId="451E0E98">
      <w:pPr>
        <w:adjustRightInd w:val="0"/>
        <w:snapToGrid w:val="0"/>
        <w:spacing w:line="600" w:lineRule="atLeast"/>
        <w:rPr>
          <w:rFonts w:ascii="Times New Roman" w:hAnsi="Times New Roman"/>
        </w:rPr>
      </w:pPr>
    </w:p>
    <w:p w14:paraId="02EB70BC">
      <w:pPr>
        <w:adjustRightInd w:val="0"/>
        <w:snapToGrid w:val="0"/>
        <w:spacing w:line="600" w:lineRule="atLeast"/>
        <w:rPr>
          <w:rFonts w:ascii="Times New Roman" w:hAnsi="Times New Roman"/>
        </w:rPr>
      </w:pPr>
    </w:p>
    <w:p w14:paraId="4ADFEDD7">
      <w:pPr>
        <w:adjustRightInd w:val="0"/>
        <w:snapToGrid w:val="0"/>
        <w:spacing w:line="600" w:lineRule="atLeast"/>
        <w:rPr>
          <w:rFonts w:ascii="Times New Roman" w:hAnsi="Times New Roman"/>
        </w:rPr>
      </w:pPr>
    </w:p>
    <w:p w14:paraId="44107FBE">
      <w:pPr>
        <w:adjustRightInd w:val="0"/>
        <w:snapToGrid w:val="0"/>
        <w:spacing w:line="600" w:lineRule="atLeast"/>
        <w:rPr>
          <w:rFonts w:ascii="Times New Roman" w:hAnsi="Times New Roman"/>
        </w:rPr>
      </w:pPr>
    </w:p>
    <w:p w14:paraId="1A73A1D3">
      <w:pPr>
        <w:adjustRightInd w:val="0"/>
        <w:snapToGrid w:val="0"/>
        <w:spacing w:line="600" w:lineRule="atLeast"/>
        <w:rPr>
          <w:rFonts w:ascii="Times New Roman" w:hAnsi="Times New Roman"/>
        </w:rPr>
      </w:pPr>
    </w:p>
    <w:p w14:paraId="7958B53D">
      <w:pPr>
        <w:adjustRightInd w:val="0"/>
        <w:snapToGrid w:val="0"/>
        <w:spacing w:line="600" w:lineRule="atLeast"/>
        <w:rPr>
          <w:rFonts w:ascii="Times New Roman" w:hAnsi="Times New Roman"/>
        </w:rPr>
      </w:pPr>
    </w:p>
    <w:p w14:paraId="0AB36CA0">
      <w:pPr>
        <w:adjustRightInd w:val="0"/>
        <w:snapToGrid w:val="0"/>
        <w:spacing w:line="600" w:lineRule="atLeast"/>
        <w:rPr>
          <w:rFonts w:ascii="Times New Roman" w:hAnsi="Times New Roman"/>
        </w:rPr>
      </w:pPr>
    </w:p>
    <w:p w14:paraId="751913F8">
      <w:pPr>
        <w:adjustRightInd w:val="0"/>
        <w:snapToGrid w:val="0"/>
        <w:spacing w:line="600" w:lineRule="atLeast"/>
        <w:rPr>
          <w:rFonts w:ascii="Times New Roman" w:hAnsi="Times New Roman"/>
        </w:rPr>
      </w:pPr>
    </w:p>
    <w:p w14:paraId="50EC6AED">
      <w:pPr>
        <w:adjustRightInd w:val="0"/>
        <w:snapToGrid w:val="0"/>
        <w:spacing w:line="600" w:lineRule="atLeast"/>
        <w:rPr>
          <w:rFonts w:ascii="Times New Roman" w:hAnsi="Times New Roman"/>
        </w:rPr>
      </w:pPr>
    </w:p>
    <w:p w14:paraId="6E866158">
      <w:pPr>
        <w:adjustRightInd w:val="0"/>
        <w:snapToGrid w:val="0"/>
        <w:spacing w:line="600" w:lineRule="atLeast"/>
        <w:rPr>
          <w:rFonts w:ascii="Times New Roman" w:hAnsi="Times New Roman"/>
        </w:rPr>
      </w:pPr>
    </w:p>
    <w:p w14:paraId="4021CE97">
      <w:pPr>
        <w:adjustRightInd w:val="0"/>
        <w:snapToGrid w:val="0"/>
        <w:spacing w:line="600" w:lineRule="atLeast"/>
        <w:rPr>
          <w:rFonts w:ascii="Times New Roman" w:hAnsi="Times New Roman"/>
        </w:rPr>
      </w:pPr>
    </w:p>
    <w:p w14:paraId="4CEDF401">
      <w:pPr>
        <w:adjustRightInd w:val="0"/>
        <w:snapToGrid w:val="0"/>
        <w:spacing w:line="600" w:lineRule="atLeast"/>
        <w:rPr>
          <w:rFonts w:ascii="Times New Roman" w:hAnsi="Times New Roman"/>
        </w:rPr>
      </w:pPr>
    </w:p>
    <w:p w14:paraId="111BCF45">
      <w:pPr>
        <w:adjustRightInd w:val="0"/>
        <w:snapToGrid w:val="0"/>
        <w:spacing w:line="600" w:lineRule="atLeast"/>
        <w:rPr>
          <w:rFonts w:ascii="Times New Roman" w:hAnsi="Times New Roman"/>
        </w:rPr>
      </w:pPr>
    </w:p>
    <w:p w14:paraId="45722989">
      <w:pPr>
        <w:adjustRightInd w:val="0"/>
        <w:snapToGrid w:val="0"/>
        <w:spacing w:line="600" w:lineRule="atLeast"/>
        <w:rPr>
          <w:rFonts w:ascii="Times New Roman" w:hAnsi="Times New Roman"/>
        </w:rPr>
      </w:pPr>
    </w:p>
    <w:p w14:paraId="78EDD6A3">
      <w:pPr>
        <w:adjustRightInd w:val="0"/>
        <w:snapToGrid w:val="0"/>
        <w:spacing w:line="600" w:lineRule="atLeast"/>
        <w:rPr>
          <w:rFonts w:ascii="Times New Roman" w:hAnsi="Times New Roman"/>
        </w:rPr>
      </w:pPr>
      <w:r>
        <w:rPr>
          <w:rFonts w:ascii="Times New Roman" w:hAnsi="Times New Roman"/>
        </w:rPr>
        <w:br w:type="textWrapping"/>
      </w:r>
    </w:p>
    <w:p w14:paraId="3D7A9DEC">
      <w:pPr>
        <w:adjustRightInd w:val="0"/>
        <w:snapToGrid w:val="0"/>
        <w:spacing w:line="600" w:lineRule="atLeast"/>
        <w:rPr>
          <w:rFonts w:ascii="Times New Roman" w:hAnsi="Times New Roman"/>
        </w:rPr>
      </w:pPr>
    </w:p>
    <w:p w14:paraId="612F207F">
      <w:pPr>
        <w:adjustRightInd w:val="0"/>
        <w:snapToGrid w:val="0"/>
        <w:spacing w:line="600" w:lineRule="atLeast"/>
        <w:rPr>
          <w:rFonts w:ascii="Times New Roman" w:hAnsi="Times New Roman"/>
        </w:rPr>
      </w:pPr>
    </w:p>
    <w:p w14:paraId="04167610">
      <w:pPr>
        <w:adjustRightInd w:val="0"/>
        <w:snapToGrid w:val="0"/>
        <w:spacing w:line="600" w:lineRule="atLeast"/>
        <w:rPr>
          <w:rFonts w:ascii="Times New Roman" w:hAnsi="Times New Roman"/>
        </w:rPr>
      </w:pPr>
      <w:bookmarkStart w:id="0" w:name="_GoBack"/>
      <w:bookmarkEnd w:id="0"/>
    </w:p>
    <w:p w14:paraId="1BC14082">
      <w:pPr>
        <w:adjustRightInd w:val="0"/>
        <w:snapToGrid w:val="0"/>
        <w:spacing w:line="600" w:lineRule="atLeast"/>
        <w:rPr>
          <w:rFonts w:ascii="Times New Roman" w:hAnsi="Times New Roman"/>
        </w:rPr>
      </w:pPr>
    </w:p>
    <w:p w14:paraId="7C17405D">
      <w:pPr>
        <w:adjustRightInd w:val="0"/>
        <w:snapToGrid w:val="0"/>
        <w:spacing w:line="600" w:lineRule="atLeast"/>
        <w:rPr>
          <w:rFonts w:ascii="Times New Roman" w:hAnsi="Times New Roman"/>
        </w:rPr>
      </w:pPr>
    </w:p>
    <w:p w14:paraId="0640838C">
      <w:pPr>
        <w:adjustRightInd w:val="0"/>
        <w:snapToGrid w:val="0"/>
        <w:spacing w:line="600" w:lineRule="atLeast"/>
        <w:rPr>
          <w:rFonts w:ascii="Times New Roman" w:hAnsi="Times New Roman"/>
        </w:rPr>
      </w:pPr>
    </w:p>
    <w:p w14:paraId="590A0043">
      <w:pPr>
        <w:adjustRightInd w:val="0"/>
        <w:snapToGrid w:val="0"/>
        <w:spacing w:line="600" w:lineRule="atLeast"/>
        <w:rPr>
          <w:rFonts w:ascii="Times New Roman" w:hAnsi="Times New Roman"/>
        </w:rPr>
      </w:pPr>
    </w:p>
    <w:p w14:paraId="2122F55F">
      <w:pPr>
        <w:adjustRightInd w:val="0"/>
        <w:snapToGrid w:val="0"/>
        <w:spacing w:line="600" w:lineRule="atLeast"/>
        <w:rPr>
          <w:rFonts w:ascii="Times New Roman" w:hAnsi="Times New Roman"/>
        </w:rPr>
      </w:pPr>
    </w:p>
    <w:p w14:paraId="55205EC1">
      <w:pPr>
        <w:adjustRightInd w:val="0"/>
        <w:snapToGrid w:val="0"/>
        <w:spacing w:line="600" w:lineRule="atLeast"/>
        <w:rPr>
          <w:rFonts w:ascii="Times New Roman" w:hAnsi="Times New Roman"/>
        </w:rPr>
      </w:pPr>
    </w:p>
    <w:p w14:paraId="6B00D1C5">
      <w:pPr>
        <w:adjustRightInd w:val="0"/>
        <w:snapToGrid w:val="0"/>
        <w:spacing w:line="600" w:lineRule="atLeast"/>
        <w:rPr>
          <w:rFonts w:ascii="Times New Roman" w:hAnsi="Times New Roman"/>
        </w:rPr>
      </w:pPr>
    </w:p>
    <w:p w14:paraId="7931562C">
      <w:pPr>
        <w:adjustRightInd w:val="0"/>
        <w:snapToGrid w:val="0"/>
        <w:spacing w:line="600" w:lineRule="atLeast"/>
        <w:rPr>
          <w:rFonts w:ascii="Times New Roman" w:hAnsi="Times New Roman"/>
        </w:rPr>
      </w:pPr>
    </w:p>
    <w:p w14:paraId="34A7B131">
      <w:pPr>
        <w:pBdr>
          <w:top w:val="single" w:color="auto" w:sz="4" w:space="0"/>
          <w:bottom w:val="single" w:color="auto" w:sz="4" w:space="0"/>
        </w:pBdr>
        <w:adjustRightInd w:val="0"/>
        <w:snapToGrid w:val="0"/>
        <w:spacing w:line="600" w:lineRule="atLeast"/>
      </w:pPr>
      <w:r>
        <w:rPr>
          <w:rFonts w:ascii="Times New Roman" w:hAnsi="Times New Roman" w:eastAsia="方正仿宋_GBK"/>
          <w:sz w:val="28"/>
          <w:szCs w:val="28"/>
        </w:rPr>
        <w:t xml:space="preserve">  重庆市经济和信息化委员会办公室        2020年7月30日印发</w:t>
      </w:r>
    </w:p>
    <w:p w14:paraId="6C04AB2E">
      <w:pPr>
        <w:rPr>
          <w:rFonts w:ascii="方正仿宋_GBK" w:eastAsia="方正仿宋_GBK"/>
        </w:rPr>
      </w:pPr>
    </w:p>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C059">
    <w:panose1 w:val="00000500000000000000"/>
    <w:charset w:val="00"/>
    <w:family w:val="auto"/>
    <w:pitch w:val="default"/>
    <w:sig w:usb0="00000287" w:usb1="00000800" w:usb2="00000000" w:usb3="00000000" w:csb0="6000009F" w:csb1="00000000"/>
  </w:font>
  <w:font w:name="方正楷体_GBK">
    <w:panose1 w:val="02000000000000000000"/>
    <w:charset w:val="86"/>
    <w:family w:val="auto"/>
    <w:pitch w:val="default"/>
    <w:sig w:usb0="00000001" w:usb1="08000000" w:usb2="00000000" w:usb3="00000000" w:csb0="00040000" w:csb1="00000000"/>
  </w:font>
  <w:font w:name="国标仿宋-GB/T 2312">
    <w:panose1 w:val="02000500000000000000"/>
    <w:charset w:val="86"/>
    <w:family w:val="auto"/>
    <w:pitch w:val="default"/>
    <w:sig w:usb0="800002AF" w:usb1="08476CF8" w:usb2="00000010" w:usb3="00000000" w:csb0="00040000" w:csb1="00000000"/>
  </w:font>
  <w:font w:name="国标仿宋">
    <w:panose1 w:val="02000500000000000000"/>
    <w:charset w:val="86"/>
    <w:family w:val="auto"/>
    <w:pitch w:val="default"/>
    <w:sig w:usb0="A00002BF" w:usb1="38C77CFA" w:usb2="00000016" w:usb3="00000000" w:csb0="00040000" w:csb1="00000000"/>
  </w:font>
  <w:font w:name="方正胖娃_GBK">
    <w:panose1 w:val="03000509000000000000"/>
    <w:charset w:val="86"/>
    <w:family w:val="auto"/>
    <w:pitch w:val="default"/>
    <w:sig w:usb0="00000001" w:usb1="080E0000" w:usb2="00000000" w:usb3="00000000" w:csb0="00040000" w:csb1="00000000"/>
  </w:font>
  <w:font w:name="CESI宋体-GB18030">
    <w:panose1 w:val="02000500000000000000"/>
    <w:charset w:val="86"/>
    <w:family w:val="auto"/>
    <w:pitch w:val="default"/>
    <w:sig w:usb0="A00002BF" w:usb1="38C77CFA" w:usb2="00000016" w:usb3="00000000" w:csb0="0004000F" w:csb1="00000000"/>
  </w:font>
  <w:font w:name="CESI宋体-GB2312">
    <w:panose1 w:val="02000500000000000000"/>
    <w:charset w:val="86"/>
    <w:family w:val="auto"/>
    <w:pitch w:val="default"/>
    <w:sig w:usb0="800002AF" w:usb1="08476CF8" w:usb2="00000010" w:usb3="00000000" w:csb0="0004000F" w:csb1="00000000"/>
  </w:font>
  <w:font w:name="CESI小标宋-GB18030">
    <w:panose1 w:val="02000500000000000000"/>
    <w:charset w:val="86"/>
    <w:family w:val="auto"/>
    <w:pitch w:val="default"/>
    <w:sig w:usb0="A00002BF" w:usb1="38CF7CFA" w:usb2="00000016" w:usb3="00000000" w:csb0="0004000F" w:csb1="00000000"/>
  </w:font>
  <w:font w:name="CESI楷体-GB13000">
    <w:panose1 w:val="02000500000000000000"/>
    <w:charset w:val="86"/>
    <w:family w:val="auto"/>
    <w:pitch w:val="default"/>
    <w:sig w:usb0="800002BF" w:usb1="38CF7CF8"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3EB76">
    <w:pPr>
      <w:pStyle w:val="2"/>
    </w:pPr>
    <w:r>
      <w:rPr>
        <w:sz w:val="18"/>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7E62F613">
                <w:pPr>
                  <w:pStyle w:val="2"/>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- 1 -</w:t>
                </w:r>
                <w:r>
                  <w:rPr>
                    <w:rFonts w:hint="eastAsia" w:asciiTheme="majorEastAsia" w:hAnsiTheme="majorEastAsia" w:eastAsiaTheme="majorEastAsia" w:cstheme="majorEastAsia"/>
                    <w:sz w:val="24"/>
                    <w:szCs w:val="24"/>
                  </w:rPr>
                  <w:fldChar w:fldCharType="end"/>
                </w:r>
              </w:p>
            </w:txbxContent>
          </v:textbox>
        </v:shape>
      </w:pict>
    </w:r>
    <w:r>
      <w:rPr>
        <w:rFonts w:ascii="Calibri" w:hAnsi="Calibri" w:eastAsia="宋体" w:cs="Times New Roman"/>
        <w:kern w:val="2"/>
        <w:sz w:val="18"/>
        <w:szCs w:val="18"/>
        <w:lang w:val="en-US" w:eastAsia="zh-CN" w:bidi="ar-SA"/>
      </w:rPr>
      <w:pict>
        <v:shape id="文本框 2" o:spid="_x0000_s4097" o:spt="202" type="#_x0000_t202" style="position:absolute;left:0pt;margin-top:0pt;height:144pt;width:144pt;mso-position-horizontal:outside;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3932499D">
                <w:pPr>
                  <w:snapToGrid w:val="0"/>
                  <w:rPr>
                    <w:rFonts w:hint="eastAsia" w:eastAsia="宋体"/>
                    <w:sz w:val="18"/>
                    <w:lang w:eastAsia="zh-CN"/>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75F07">
    <w:pPr>
      <w:pStyle w:val="2"/>
    </w:pPr>
    <w:r>
      <w:rPr>
        <w:sz w:val="18"/>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6D254275">
                <w:pPr>
                  <w:pStyle w:val="2"/>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- 1 -</w:t>
                </w:r>
                <w:r>
                  <w:rPr>
                    <w:rFonts w:hint="eastAsia" w:asciiTheme="minorEastAsia" w:hAnsiTheme="minorEastAsia" w:eastAsiaTheme="minorEastAsia" w:cstheme="minorEastAsia"/>
                    <w:sz w:val="24"/>
                    <w:szCs w:val="24"/>
                  </w:rPr>
                  <w:fldChar w:fldCharType="end"/>
                </w:r>
              </w:p>
            </w:txbxContent>
          </v:textbox>
        </v:shape>
      </w:pict>
    </w:r>
    <w:r>
      <w:rPr>
        <w:rFonts w:ascii="Calibri" w:hAnsi="Calibri" w:eastAsia="宋体" w:cs="Times New Roman"/>
        <w:kern w:val="2"/>
        <w:sz w:val="18"/>
        <w:szCs w:val="18"/>
        <w:lang w:val="en-US" w:eastAsia="zh-CN" w:bidi="ar-SA"/>
      </w:rPr>
      <w:pict>
        <v:shape id="_x0000_s4098" o:spid="_x0000_s4098" o:spt="202" type="#_x0000_t202" style="position:absolute;left:0pt;margin-top:0pt;height:144pt;width:144pt;mso-position-horizontal:center;mso-position-horizontal-relative:margin;mso-wrap-style:none;z-index:251660288;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30E0D7F1">
                <w:pPr>
                  <w:snapToGrid w:val="0"/>
                  <w:rPr>
                    <w:rFonts w:hint="eastAsia" w:eastAsia="宋体"/>
                    <w:sz w:val="18"/>
                    <w:lang w:eastAsia="zh-CN"/>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8FD34">
    <w:pPr>
      <w:pStyle w:val="2"/>
    </w:pPr>
    <w:r>
      <w:rPr>
        <w:sz w:val="18"/>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5D49E80C">
                <w:pPr>
                  <w:pStyle w:val="2"/>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- 1 -</w:t>
                </w:r>
                <w:r>
                  <w:rPr>
                    <w:rFonts w:hint="eastAsia" w:asciiTheme="minorEastAsia" w:hAnsiTheme="minorEastAsia" w:eastAsiaTheme="minorEastAsia" w:cstheme="minorEastAsia"/>
                    <w:sz w:val="24"/>
                    <w:szCs w:val="24"/>
                  </w:rPr>
                  <w:fldChar w:fldCharType="end"/>
                </w:r>
              </w:p>
            </w:txbxContent>
          </v:textbox>
        </v:shape>
      </w:pict>
    </w:r>
    <w:r>
      <w:rPr>
        <w:rFonts w:ascii="Calibri" w:hAnsi="Calibri" w:eastAsia="宋体" w:cs="Times New Roman"/>
        <w:kern w:val="2"/>
        <w:sz w:val="18"/>
        <w:szCs w:val="18"/>
        <w:lang w:val="en-US" w:eastAsia="zh-CN" w:bidi="ar-SA"/>
      </w:rPr>
      <w:pict>
        <v:shape id="_x0000_s4099" o:spid="_x0000_s4099" o:spt="202" type="#_x0000_t202" style="position:absolute;left:0pt;margin-top:0pt;height:144pt;width:144pt;mso-position-horizontal:outside;mso-position-horizontal-relative:margin;mso-wrap-style:none;z-index:251661312;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1FCCEBD9">
                <w:pPr>
                  <w:snapToGrid w:val="0"/>
                  <w:rPr>
                    <w:rFonts w:hint="eastAsia" w:eastAsia="宋体"/>
                    <w:sz w:val="18"/>
                    <w:lang w:eastAsia="zh-CN"/>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F9883">
    <w:pPr>
      <w:pStyle w:val="2"/>
    </w:pPr>
    <w:r>
      <w:rPr>
        <w:sz w:val="18"/>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28AA1F23">
                <w:pPr>
                  <w:pStyle w:val="2"/>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- 1 -</w:t>
                </w:r>
                <w:r>
                  <w:rPr>
                    <w:rFonts w:hint="eastAsia" w:asciiTheme="minorEastAsia" w:hAnsiTheme="minorEastAsia" w:eastAsiaTheme="minorEastAsia" w:cstheme="minorEastAsia"/>
                    <w:sz w:val="24"/>
                    <w:szCs w:val="24"/>
                  </w:rPr>
                  <w:fldChar w:fldCharType="end"/>
                </w:r>
              </w:p>
            </w:txbxContent>
          </v:textbox>
        </v:shape>
      </w:pict>
    </w:r>
    <w:r>
      <w:rPr>
        <w:rFonts w:ascii="Calibri" w:hAnsi="Calibri" w:eastAsia="宋体" w:cs="Times New Roman"/>
        <w:kern w:val="2"/>
        <w:sz w:val="18"/>
        <w:szCs w:val="18"/>
        <w:lang w:val="en-US" w:eastAsia="zh-CN" w:bidi="ar-SA"/>
      </w:rPr>
      <w:pict>
        <v:shape id="_x0000_s4100" o:spid="_x0000_s4100" o:spt="202" type="#_x0000_t202" style="position:absolute;left:0pt;margin-top:0pt;height:144pt;width:144pt;mso-position-horizontal:outside;mso-position-horizontal-relative:margin;mso-wrap-style:none;z-index:251662336;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283C124F">
                <w:pPr>
                  <w:snapToGrid w:val="0"/>
                  <w:rPr>
                    <w:rFonts w:hint="eastAsia" w:eastAsia="宋体"/>
                    <w:sz w:val="18"/>
                    <w:lang w:eastAsia="zh-CN"/>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8105CB"/>
    <w:rsid w:val="00013A73"/>
    <w:rsid w:val="0002515E"/>
    <w:rsid w:val="00037EB4"/>
    <w:rsid w:val="00086853"/>
    <w:rsid w:val="000A4E0D"/>
    <w:rsid w:val="000B0AC4"/>
    <w:rsid w:val="000C3A6B"/>
    <w:rsid w:val="000D6C55"/>
    <w:rsid w:val="000F4DA7"/>
    <w:rsid w:val="00114609"/>
    <w:rsid w:val="001A2A1E"/>
    <w:rsid w:val="001A5FDF"/>
    <w:rsid w:val="001C0B58"/>
    <w:rsid w:val="001C344C"/>
    <w:rsid w:val="001F433E"/>
    <w:rsid w:val="00210514"/>
    <w:rsid w:val="00225973"/>
    <w:rsid w:val="00275A5C"/>
    <w:rsid w:val="00287A6C"/>
    <w:rsid w:val="002A62F4"/>
    <w:rsid w:val="002A733E"/>
    <w:rsid w:val="002B4596"/>
    <w:rsid w:val="002E7D2E"/>
    <w:rsid w:val="00312C9E"/>
    <w:rsid w:val="00323010"/>
    <w:rsid w:val="00347EED"/>
    <w:rsid w:val="00356678"/>
    <w:rsid w:val="003B4548"/>
    <w:rsid w:val="003D6939"/>
    <w:rsid w:val="003F0C34"/>
    <w:rsid w:val="003F59FC"/>
    <w:rsid w:val="004178F3"/>
    <w:rsid w:val="0044537B"/>
    <w:rsid w:val="00446877"/>
    <w:rsid w:val="00467C99"/>
    <w:rsid w:val="004747B3"/>
    <w:rsid w:val="004A0BF0"/>
    <w:rsid w:val="004B2CB2"/>
    <w:rsid w:val="004B3458"/>
    <w:rsid w:val="004B66D9"/>
    <w:rsid w:val="004C5751"/>
    <w:rsid w:val="004E796C"/>
    <w:rsid w:val="00507729"/>
    <w:rsid w:val="00562E3B"/>
    <w:rsid w:val="005662D2"/>
    <w:rsid w:val="00594A88"/>
    <w:rsid w:val="00595029"/>
    <w:rsid w:val="005A5782"/>
    <w:rsid w:val="005C7F4C"/>
    <w:rsid w:val="005E3D7C"/>
    <w:rsid w:val="005E7FCF"/>
    <w:rsid w:val="00606D77"/>
    <w:rsid w:val="00637733"/>
    <w:rsid w:val="00637CC1"/>
    <w:rsid w:val="00640C9B"/>
    <w:rsid w:val="00643CEC"/>
    <w:rsid w:val="00661CF7"/>
    <w:rsid w:val="00662815"/>
    <w:rsid w:val="0066726F"/>
    <w:rsid w:val="006A613F"/>
    <w:rsid w:val="006B539B"/>
    <w:rsid w:val="006F2AA3"/>
    <w:rsid w:val="00701411"/>
    <w:rsid w:val="007475EA"/>
    <w:rsid w:val="00751603"/>
    <w:rsid w:val="00752E7B"/>
    <w:rsid w:val="00770AC9"/>
    <w:rsid w:val="00774E99"/>
    <w:rsid w:val="007D3544"/>
    <w:rsid w:val="008105CB"/>
    <w:rsid w:val="00846E50"/>
    <w:rsid w:val="00850A9D"/>
    <w:rsid w:val="008648CB"/>
    <w:rsid w:val="00871EF9"/>
    <w:rsid w:val="008A4A06"/>
    <w:rsid w:val="008A4F66"/>
    <w:rsid w:val="008B157C"/>
    <w:rsid w:val="008D6367"/>
    <w:rsid w:val="00911B80"/>
    <w:rsid w:val="009263F0"/>
    <w:rsid w:val="00960158"/>
    <w:rsid w:val="00980B66"/>
    <w:rsid w:val="009A0CFA"/>
    <w:rsid w:val="009E1284"/>
    <w:rsid w:val="009E582A"/>
    <w:rsid w:val="009E6B51"/>
    <w:rsid w:val="00A048E5"/>
    <w:rsid w:val="00A6094E"/>
    <w:rsid w:val="00A63172"/>
    <w:rsid w:val="00AC06A7"/>
    <w:rsid w:val="00AD4199"/>
    <w:rsid w:val="00AF3B3E"/>
    <w:rsid w:val="00B15F3F"/>
    <w:rsid w:val="00B4426C"/>
    <w:rsid w:val="00B82CCD"/>
    <w:rsid w:val="00B943BE"/>
    <w:rsid w:val="00B978F7"/>
    <w:rsid w:val="00BC3A48"/>
    <w:rsid w:val="00BE32AE"/>
    <w:rsid w:val="00BE3C64"/>
    <w:rsid w:val="00C07F48"/>
    <w:rsid w:val="00C138CC"/>
    <w:rsid w:val="00C14D5B"/>
    <w:rsid w:val="00C22388"/>
    <w:rsid w:val="00C224BB"/>
    <w:rsid w:val="00C275E2"/>
    <w:rsid w:val="00C85A2B"/>
    <w:rsid w:val="00C9695B"/>
    <w:rsid w:val="00CA7AB2"/>
    <w:rsid w:val="00CE1776"/>
    <w:rsid w:val="00CE6B50"/>
    <w:rsid w:val="00D06891"/>
    <w:rsid w:val="00D13BA8"/>
    <w:rsid w:val="00D226E6"/>
    <w:rsid w:val="00D2734A"/>
    <w:rsid w:val="00D57310"/>
    <w:rsid w:val="00D80920"/>
    <w:rsid w:val="00DE3779"/>
    <w:rsid w:val="00DE7973"/>
    <w:rsid w:val="00E07B55"/>
    <w:rsid w:val="00E31CFF"/>
    <w:rsid w:val="00E43531"/>
    <w:rsid w:val="00E67646"/>
    <w:rsid w:val="00E70816"/>
    <w:rsid w:val="00E777E6"/>
    <w:rsid w:val="00E92C17"/>
    <w:rsid w:val="00E9498E"/>
    <w:rsid w:val="00EB71EF"/>
    <w:rsid w:val="00EE7DB0"/>
    <w:rsid w:val="00EF2A08"/>
    <w:rsid w:val="00EF3F70"/>
    <w:rsid w:val="00EF74DA"/>
    <w:rsid w:val="00F371A7"/>
    <w:rsid w:val="00F501C9"/>
    <w:rsid w:val="00F83832"/>
    <w:rsid w:val="00FB6C17"/>
    <w:rsid w:val="00FC747A"/>
    <w:rsid w:val="00FD114A"/>
    <w:rsid w:val="00FD54FC"/>
    <w:rsid w:val="016347D7"/>
    <w:rsid w:val="03EE1902"/>
    <w:rsid w:val="04E81B1A"/>
    <w:rsid w:val="079F680F"/>
    <w:rsid w:val="0A351CCC"/>
    <w:rsid w:val="0B2E5767"/>
    <w:rsid w:val="0C323D10"/>
    <w:rsid w:val="0E673CAF"/>
    <w:rsid w:val="137E1789"/>
    <w:rsid w:val="1462527F"/>
    <w:rsid w:val="14AE78FC"/>
    <w:rsid w:val="189A2A5E"/>
    <w:rsid w:val="1A5D684E"/>
    <w:rsid w:val="1A9E72B8"/>
    <w:rsid w:val="1CFD391F"/>
    <w:rsid w:val="1D6131F2"/>
    <w:rsid w:val="1E8F4FAF"/>
    <w:rsid w:val="1EF03D4E"/>
    <w:rsid w:val="1F936DDB"/>
    <w:rsid w:val="21D2510C"/>
    <w:rsid w:val="21DD349D"/>
    <w:rsid w:val="23C50DBF"/>
    <w:rsid w:val="2489657E"/>
    <w:rsid w:val="26BE651E"/>
    <w:rsid w:val="29B5077A"/>
    <w:rsid w:val="2EED420A"/>
    <w:rsid w:val="309F7453"/>
    <w:rsid w:val="30E07EBD"/>
    <w:rsid w:val="31614F93"/>
    <w:rsid w:val="3198766B"/>
    <w:rsid w:val="35BC42A3"/>
    <w:rsid w:val="36F05BAE"/>
    <w:rsid w:val="375C6562"/>
    <w:rsid w:val="3A127D55"/>
    <w:rsid w:val="3B2D17A6"/>
    <w:rsid w:val="3C535D05"/>
    <w:rsid w:val="3C7207B9"/>
    <w:rsid w:val="3D78737B"/>
    <w:rsid w:val="3D8C258A"/>
    <w:rsid w:val="41F56C46"/>
    <w:rsid w:val="468A764A"/>
    <w:rsid w:val="4C1705E5"/>
    <w:rsid w:val="4CDB5DA5"/>
    <w:rsid w:val="4D2607A2"/>
    <w:rsid w:val="4ED97DE9"/>
    <w:rsid w:val="4FDD1C15"/>
    <w:rsid w:val="53DA11A0"/>
    <w:rsid w:val="5557610E"/>
    <w:rsid w:val="58FB500B"/>
    <w:rsid w:val="5BDD2B45"/>
    <w:rsid w:val="5C1F35AE"/>
    <w:rsid w:val="60056797"/>
    <w:rsid w:val="60510E15"/>
    <w:rsid w:val="60E9228D"/>
    <w:rsid w:val="620D6B6D"/>
    <w:rsid w:val="67041B93"/>
    <w:rsid w:val="671962B5"/>
    <w:rsid w:val="693862AF"/>
    <w:rsid w:val="6A1D1DA5"/>
    <w:rsid w:val="6D6A4A10"/>
    <w:rsid w:val="70984BC8"/>
    <w:rsid w:val="75F0310B"/>
    <w:rsid w:val="76B344CD"/>
    <w:rsid w:val="78B14EA3"/>
    <w:rsid w:val="791E32C2"/>
    <w:rsid w:val="7A186D5D"/>
    <w:rsid w:val="7B1227F8"/>
    <w:rsid w:val="7CA33E88"/>
    <w:rsid w:val="7CAE5A9D"/>
    <w:rsid w:val="7D883202"/>
    <w:rsid w:val="7E20467A"/>
    <w:rsid w:val="7E8C502E"/>
    <w:rsid w:val="D2EFC856"/>
    <w:rsid w:val="FF5D40D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101" textRotate="1"/>
    <customShpInfo spid="_x0000_s4097" textRotate="1"/>
    <customShpInfo spid="_x0000_s4102" textRotate="1"/>
    <customShpInfo spid="_x0000_s4098" textRotate="1"/>
    <customShpInfo spid="_x0000_s4103" textRotate="1"/>
    <customShpInfo spid="_x0000_s4099" textRotate="1"/>
    <customShpInfo spid="_x0000_s4104" textRotate="1"/>
    <customShpInfo spid="_x0000_s410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267</Words>
  <Characters>1528</Characters>
  <Lines>12</Lines>
  <Paragraphs>3</Paragraphs>
  <TotalTime>21</TotalTime>
  <ScaleCrop>false</ScaleCrop>
  <LinksUpToDate>false</LinksUpToDate>
  <CharactersWithSpaces>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2020-10-10T17:07:00Z</dcterms:created>
  <dc:creator>null</dc:creator>
  <cp:lastModifiedBy>kylin</cp:lastModifiedBy>
  <cp:lastPrinted>2026-07-20T15:53:17Z</cp:lastPrinted>
  <dcterms:modified xsi:type="dcterms:W3CDTF">2026-07-20T16:02:16Z</dcterms:modified>
  <dc:title>重庆市巴南区经济和信息化委员</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F92C3B08AEC35B2F7770276A58136884_42</vt:lpwstr>
  </property>
</Properties>
</file>