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D772BA">
      <w:pPr>
        <w:keepNext w:val="0"/>
        <w:keepLines w:val="0"/>
        <w:pageBreakBefore w:val="0"/>
        <w:kinsoku/>
        <w:overflowPunct/>
        <w:topLinePunct w:val="0"/>
        <w:bidi w:val="0"/>
        <w:spacing w:line="600" w:lineRule="atLeast"/>
        <w:ind w:left="0" w:leftChars="0" w:right="0" w:rightChars="0"/>
        <w:jc w:val="center"/>
        <w:textAlignment w:val="auto"/>
        <w:rPr>
          <w:rFonts w:hint="eastAsia" w:ascii="方正仿宋_GBK" w:hAnsi="方正仿宋_GBK" w:eastAsia="方正仿宋_GBK" w:cs="方正仿宋_GBK"/>
          <w:sz w:val="32"/>
          <w:szCs w:val="32"/>
          <w:lang w:eastAsia="zh-CN"/>
        </w:rPr>
      </w:pPr>
    </w:p>
    <w:p w14:paraId="15BF7DB0">
      <w:pPr>
        <w:keepNext w:val="0"/>
        <w:keepLines w:val="0"/>
        <w:pageBreakBefore w:val="0"/>
        <w:kinsoku/>
        <w:overflowPunct/>
        <w:topLinePunct w:val="0"/>
        <w:bidi w:val="0"/>
        <w:spacing w:line="600" w:lineRule="atLeast"/>
        <w:ind w:left="0" w:leftChars="0" w:right="0" w:rightChars="0"/>
        <w:jc w:val="center"/>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 xml:space="preserve"> </w:t>
      </w:r>
      <w:bookmarkStart w:id="1" w:name="_GoBack"/>
      <w:bookmarkEnd w:id="1"/>
    </w:p>
    <w:p w14:paraId="36DFF7A9">
      <w:pPr>
        <w:keepNext w:val="0"/>
        <w:keepLines w:val="0"/>
        <w:pageBreakBefore w:val="0"/>
        <w:widowControl w:val="0"/>
        <w:kinsoku/>
        <w:wordWrap/>
        <w:overflowPunct/>
        <w:topLinePunct w:val="0"/>
        <w:autoSpaceDE/>
        <w:autoSpaceDN/>
        <w:bidi w:val="0"/>
        <w:adjustRightInd/>
        <w:snapToGrid/>
        <w:spacing w:beforeAutospacing="0" w:afterAutospacing="0" w:line="540" w:lineRule="exact"/>
        <w:jc w:val="center"/>
        <w:textAlignment w:val="auto"/>
        <w:rPr>
          <w:rFonts w:hint="eastAsia" w:ascii="方正小标宋_GBK" w:hAnsi="方正小标宋_GBK" w:eastAsia="方正小标宋_GBK" w:cs="方正小标宋_GBK"/>
          <w:b w:val="0"/>
          <w:bCs w:val="0"/>
          <w:color w:val="auto"/>
          <w:spacing w:val="20"/>
          <w:sz w:val="44"/>
          <w:szCs w:val="44"/>
          <w:lang w:val="en-US" w:eastAsia="zh-CN"/>
        </w:rPr>
      </w:pPr>
      <w:r>
        <w:rPr>
          <w:rFonts w:hint="eastAsia" w:ascii="方正小标宋_GBK" w:hAnsi="方正小标宋_GBK" w:eastAsia="方正小标宋_GBK" w:cs="方正小标宋_GBK"/>
          <w:b w:val="0"/>
          <w:bCs w:val="0"/>
          <w:color w:val="auto"/>
          <w:spacing w:val="20"/>
          <w:sz w:val="44"/>
          <w:szCs w:val="44"/>
          <w:lang w:val="en-US" w:eastAsia="zh-CN"/>
        </w:rPr>
        <w:t>重庆市巴南区生态环境局</w:t>
      </w:r>
    </w:p>
    <w:p w14:paraId="6C9D0692">
      <w:pPr>
        <w:keepNext w:val="0"/>
        <w:keepLines w:val="0"/>
        <w:pageBreakBefore w:val="0"/>
        <w:widowControl w:val="0"/>
        <w:kinsoku/>
        <w:wordWrap/>
        <w:overflowPunct/>
        <w:topLinePunct w:val="0"/>
        <w:autoSpaceDE/>
        <w:autoSpaceDN/>
        <w:bidi w:val="0"/>
        <w:adjustRightInd/>
        <w:snapToGrid/>
        <w:spacing w:beforeAutospacing="0" w:afterAutospacing="0" w:line="540" w:lineRule="exact"/>
        <w:jc w:val="center"/>
        <w:textAlignment w:val="auto"/>
        <w:rPr>
          <w:rFonts w:hint="eastAsia" w:ascii="方正小标宋_GBK" w:hAnsi="方正小标宋_GBK" w:eastAsia="方正小标宋_GBK" w:cs="方正小标宋_GBK"/>
          <w:b w:val="0"/>
          <w:bCs w:val="0"/>
          <w:color w:val="auto"/>
          <w:spacing w:val="20"/>
          <w:sz w:val="44"/>
          <w:szCs w:val="44"/>
          <w:lang w:val="en-US" w:eastAsia="zh-CN"/>
        </w:rPr>
      </w:pPr>
      <w:r>
        <w:rPr>
          <w:rFonts w:hint="eastAsia" w:ascii="方正小标宋_GBK" w:hAnsi="方正小标宋_GBK" w:eastAsia="方正小标宋_GBK" w:cs="方正小标宋_GBK"/>
          <w:b w:val="0"/>
          <w:bCs w:val="0"/>
          <w:color w:val="auto"/>
          <w:spacing w:val="20"/>
          <w:sz w:val="44"/>
          <w:szCs w:val="44"/>
          <w:lang w:val="en-US" w:eastAsia="zh-CN"/>
        </w:rPr>
        <w:t>关于印发《巴南区</w:t>
      </w:r>
      <w:r>
        <w:rPr>
          <w:rFonts w:hint="eastAsia" w:ascii="方正小标宋_GBK" w:hAnsi="方正小标宋_GBK" w:eastAsia="方正小标宋_GBK" w:cs="方正小标宋_GBK"/>
          <w:b w:val="0"/>
          <w:bCs w:val="0"/>
          <w:color w:val="auto"/>
          <w:spacing w:val="20"/>
          <w:sz w:val="44"/>
          <w:szCs w:val="44"/>
        </w:rPr>
        <w:t>一般工业固体废物</w:t>
      </w:r>
      <w:r>
        <w:rPr>
          <w:rFonts w:hint="eastAsia" w:ascii="方正小标宋_GBK" w:hAnsi="方正小标宋_GBK" w:eastAsia="方正小标宋_GBK" w:cs="方正小标宋_GBK"/>
          <w:b w:val="0"/>
          <w:bCs w:val="0"/>
          <w:color w:val="auto"/>
          <w:spacing w:val="20"/>
          <w:sz w:val="44"/>
          <w:szCs w:val="44"/>
          <w:lang w:val="en-US" w:eastAsia="zh-CN"/>
        </w:rPr>
        <w:t>规范</w:t>
      </w:r>
    </w:p>
    <w:p w14:paraId="576CCAEB">
      <w:pPr>
        <w:keepNext w:val="0"/>
        <w:keepLines w:val="0"/>
        <w:pageBreakBefore w:val="0"/>
        <w:widowControl w:val="0"/>
        <w:kinsoku/>
        <w:wordWrap/>
        <w:overflowPunct/>
        <w:topLinePunct w:val="0"/>
        <w:autoSpaceDE/>
        <w:autoSpaceDN/>
        <w:bidi w:val="0"/>
        <w:adjustRightInd/>
        <w:snapToGrid/>
        <w:spacing w:beforeAutospacing="0" w:afterAutospacing="0" w:line="540" w:lineRule="exact"/>
        <w:jc w:val="center"/>
        <w:textAlignment w:val="auto"/>
        <w:rPr>
          <w:rFonts w:hint="eastAsia" w:ascii="方正小标宋_GBK" w:hAnsi="方正小标宋_GBK" w:eastAsia="方正小标宋_GBK" w:cs="方正小标宋_GBK"/>
          <w:b w:val="0"/>
          <w:bCs w:val="0"/>
          <w:color w:val="auto"/>
          <w:spacing w:val="20"/>
          <w:sz w:val="44"/>
          <w:szCs w:val="44"/>
          <w:lang w:val="en-US" w:eastAsia="zh-CN"/>
        </w:rPr>
      </w:pPr>
      <w:r>
        <w:rPr>
          <w:rFonts w:hint="eastAsia" w:ascii="方正小标宋_GBK" w:hAnsi="方正小标宋_GBK" w:eastAsia="方正小标宋_GBK" w:cs="方正小标宋_GBK"/>
          <w:b w:val="0"/>
          <w:bCs w:val="0"/>
          <w:color w:val="auto"/>
          <w:spacing w:val="20"/>
          <w:sz w:val="44"/>
          <w:szCs w:val="44"/>
          <w:lang w:val="en-US" w:eastAsia="zh-CN"/>
        </w:rPr>
        <w:t>化环境管理评估指南》的通知</w:t>
      </w:r>
    </w:p>
    <w:p w14:paraId="731599F5">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jc w:val="center"/>
        <w:textAlignment w:val="auto"/>
        <w:rPr>
          <w:rFonts w:hint="default" w:ascii="Times New Roman" w:hAnsi="Times New Roman" w:eastAsia="方正仿宋_GBK" w:cs="Times New Roman"/>
          <w:i w:val="0"/>
          <w:caps w:val="0"/>
          <w:color w:val="auto"/>
          <w:spacing w:val="0"/>
          <w:sz w:val="44"/>
          <w:szCs w:val="44"/>
          <w:shd w:val="clear" w:fill="FFFFFF"/>
          <w:lang w:eastAsia="zh-CN"/>
        </w:rPr>
      </w:pPr>
      <w:r>
        <w:rPr>
          <w:rFonts w:hint="default" w:ascii="Times New Roman" w:hAnsi="Times New Roman" w:eastAsia="方正仿宋_GBK" w:cs="Times New Roman"/>
          <w:b w:val="0"/>
          <w:bCs w:val="0"/>
          <w:color w:val="auto"/>
          <w:sz w:val="32"/>
          <w:szCs w:val="32"/>
        </w:rPr>
        <w:t>巴南环保发〔202</w:t>
      </w:r>
      <w:r>
        <w:rPr>
          <w:rFonts w:hint="eastAsia" w:ascii="Times New Roman" w:hAnsi="Times New Roman" w:eastAsia="方正仿宋_GBK" w:cs="Times New Roman"/>
          <w:b w:val="0"/>
          <w:bCs w:val="0"/>
          <w:color w:val="auto"/>
          <w:sz w:val="32"/>
          <w:szCs w:val="32"/>
          <w:lang w:val="en-US" w:eastAsia="zh-CN"/>
        </w:rPr>
        <w:t>5</w:t>
      </w:r>
      <w:r>
        <w:rPr>
          <w:rFonts w:hint="default" w:ascii="Times New Roman" w:hAnsi="Times New Roman" w:eastAsia="方正仿宋_GBK" w:cs="Times New Roman"/>
          <w:b w:val="0"/>
          <w:bCs w:val="0"/>
          <w:color w:val="auto"/>
          <w:sz w:val="32"/>
          <w:szCs w:val="32"/>
        </w:rPr>
        <w:t>〕</w:t>
      </w:r>
      <w:r>
        <w:rPr>
          <w:rFonts w:hint="eastAsia" w:ascii="Times New Roman" w:hAnsi="Times New Roman" w:eastAsia="方正仿宋_GBK" w:cs="Times New Roman"/>
          <w:b w:val="0"/>
          <w:bCs w:val="0"/>
          <w:color w:val="auto"/>
          <w:sz w:val="32"/>
          <w:szCs w:val="32"/>
          <w:lang w:val="en-US" w:eastAsia="zh-CN"/>
        </w:rPr>
        <w:t>12</w:t>
      </w:r>
      <w:r>
        <w:rPr>
          <w:rFonts w:hint="eastAsia" w:ascii="Times New Roman" w:hAnsi="Times New Roman" w:eastAsia="方正仿宋_GBK" w:cs="Times New Roman"/>
          <w:sz w:val="32"/>
          <w:szCs w:val="32"/>
          <w:lang w:val="en-US" w:eastAsia="zh-CN"/>
        </w:rPr>
        <w:t>号</w:t>
      </w:r>
    </w:p>
    <w:p w14:paraId="45CD51FE">
      <w:pPr>
        <w:keepNext w:val="0"/>
        <w:keepLines w:val="0"/>
        <w:pageBreakBefore w:val="0"/>
        <w:kinsoku/>
        <w:overflowPunct/>
        <w:topLinePunct w:val="0"/>
        <w:bidi w:val="0"/>
        <w:spacing w:line="600" w:lineRule="atLeast"/>
        <w:ind w:left="0" w:leftChars="0" w:right="0" w:rightChars="0"/>
        <w:jc w:val="center"/>
        <w:textAlignment w:val="auto"/>
        <w:rPr>
          <w:rFonts w:hint="eastAsia" w:ascii="宋体" w:hAnsi="宋体" w:eastAsia="宋体" w:cs="宋体"/>
          <w:i w:val="0"/>
          <w:caps w:val="0"/>
          <w:color w:val="auto"/>
          <w:spacing w:val="0"/>
          <w:sz w:val="44"/>
          <w:szCs w:val="44"/>
          <w:shd w:val="clear" w:fill="FFFFFF"/>
          <w:lang w:val="en-US" w:eastAsia="zh-CN"/>
        </w:rPr>
      </w:pPr>
    </w:p>
    <w:p w14:paraId="14D4A0A2">
      <w:pPr>
        <w:keepNext w:val="0"/>
        <w:keepLines w:val="0"/>
        <w:pageBreakBefore w:val="0"/>
        <w:widowControl w:val="0"/>
        <w:kinsoku/>
        <w:overflowPunct/>
        <w:topLinePunct w:val="0"/>
        <w:autoSpaceDE/>
        <w:autoSpaceDN/>
        <w:bidi w:val="0"/>
        <w:adjustRightInd/>
        <w:snapToGrid/>
        <w:spacing w:line="600" w:lineRule="exact"/>
        <w:ind w:left="0" w:leftChars="0" w:right="0" w:rightChars="0"/>
        <w:textAlignment w:val="auto"/>
        <w:rPr>
          <w:rFonts w:hint="eastAsia" w:ascii="方正仿宋_GBK" w:hAnsi="方正仿宋_GBK" w:eastAsia="方正仿宋_GBK" w:cs="方正仿宋_GBK"/>
          <w:kern w:val="0"/>
          <w:sz w:val="32"/>
          <w:szCs w:val="32"/>
          <w:shd w:val="clear" w:color="auto" w:fill="FFFFFF"/>
          <w:lang w:val="en-US" w:eastAsia="zh-CN" w:bidi="ar-SA"/>
        </w:rPr>
      </w:pPr>
      <w:r>
        <w:rPr>
          <w:rFonts w:hint="eastAsia" w:ascii="方正仿宋_GBK" w:hAnsi="方正仿宋_GBK" w:eastAsia="方正仿宋_GBK" w:cs="方正仿宋_GBK"/>
          <w:b w:val="0"/>
          <w:bCs w:val="0"/>
          <w:color w:val="auto"/>
          <w:sz w:val="32"/>
          <w:szCs w:val="32"/>
        </w:rPr>
        <w:t>各相关企业，</w:t>
      </w:r>
      <w:r>
        <w:rPr>
          <w:rFonts w:hint="eastAsia" w:ascii="方正仿宋_GBK" w:hAnsi="方正仿宋_GBK" w:eastAsia="方正仿宋_GBK" w:cs="方正仿宋_GBK"/>
          <w:kern w:val="0"/>
          <w:sz w:val="32"/>
          <w:szCs w:val="32"/>
          <w:shd w:val="clear" w:color="auto" w:fill="FFFFFF"/>
          <w:lang w:val="en-US" w:eastAsia="zh-CN" w:bidi="ar-SA"/>
        </w:rPr>
        <w:t>有关单位：</w:t>
      </w:r>
    </w:p>
    <w:p w14:paraId="79502684">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default" w:ascii="方正仿宋_GBK" w:hAnsi="方正仿宋_GBK" w:eastAsia="方正仿宋_GBK" w:cs="方正仿宋_GBK"/>
          <w:kern w:val="0"/>
          <w:sz w:val="32"/>
          <w:szCs w:val="32"/>
          <w:shd w:val="clear" w:color="auto" w:fill="FFFFFF"/>
          <w:lang w:val="en-US" w:eastAsia="zh-CN" w:bidi="ar-SA"/>
        </w:rPr>
      </w:pPr>
      <w:r>
        <w:rPr>
          <w:rFonts w:hint="default" w:ascii="Times New Roman" w:hAnsi="Times New Roman" w:eastAsia="方正仿宋_GBK" w:cs="Times New Roman"/>
          <w:b w:val="0"/>
          <w:bCs w:val="0"/>
          <w:color w:val="auto"/>
          <w:sz w:val="32"/>
          <w:szCs w:val="32"/>
        </w:rPr>
        <w:t>现将《巴南区一般工业固体废物规范化环境管理评估指南》印发给你们，请参照执行</w:t>
      </w:r>
      <w:r>
        <w:rPr>
          <w:rFonts w:hint="eastAsia" w:ascii="方正仿宋_GBK" w:hAnsi="方正仿宋_GBK" w:eastAsia="方正仿宋_GBK" w:cs="方正仿宋_GBK"/>
          <w:kern w:val="0"/>
          <w:sz w:val="32"/>
          <w:szCs w:val="32"/>
          <w:shd w:val="clear" w:color="auto" w:fill="FFFFFF"/>
          <w:lang w:val="en-US" w:eastAsia="zh-CN" w:bidi="ar-SA"/>
        </w:rPr>
        <w:t>。</w:t>
      </w:r>
    </w:p>
    <w:p w14:paraId="289DD0C6">
      <w:pPr>
        <w:keepNext w:val="0"/>
        <w:keepLines w:val="0"/>
        <w:pageBreakBefore w:val="0"/>
        <w:widowControl w:val="0"/>
        <w:kinsoku/>
        <w:overflowPunct/>
        <w:topLinePunct w:val="0"/>
        <w:autoSpaceDE/>
        <w:autoSpaceDN/>
        <w:bidi w:val="0"/>
        <w:adjustRightInd/>
        <w:snapToGrid/>
        <w:spacing w:line="600" w:lineRule="exact"/>
        <w:ind w:left="0" w:leftChars="0" w:right="0" w:rightChars="0" w:firstLine="640" w:firstLineChars="200"/>
        <w:jc w:val="center"/>
        <w:textAlignment w:val="auto"/>
        <w:rPr>
          <w:rFonts w:hint="eastAsia" w:ascii="方正仿宋_GBK" w:hAnsi="方正仿宋_GBK" w:eastAsia="方正仿宋_GBK" w:cs="方正仿宋_GBK"/>
          <w:kern w:val="0"/>
          <w:sz w:val="32"/>
          <w:szCs w:val="32"/>
          <w:shd w:val="clear" w:color="auto" w:fill="FFFFFF"/>
          <w:lang w:val="en-US" w:eastAsia="zh-CN" w:bidi="ar-SA"/>
        </w:rPr>
      </w:pPr>
    </w:p>
    <w:p w14:paraId="2D1465EE">
      <w:pPr>
        <w:keepNext w:val="0"/>
        <w:keepLines w:val="0"/>
        <w:pageBreakBefore w:val="0"/>
        <w:widowControl w:val="0"/>
        <w:kinsoku/>
        <w:wordWrap w:val="0"/>
        <w:overflowPunct/>
        <w:topLinePunct w:val="0"/>
        <w:autoSpaceDE/>
        <w:autoSpaceDN/>
        <w:bidi w:val="0"/>
        <w:adjustRightInd/>
        <w:snapToGrid/>
        <w:spacing w:line="600" w:lineRule="exact"/>
        <w:ind w:left="0" w:leftChars="0" w:right="0" w:rightChars="0" w:firstLine="4000" w:firstLineChars="1250"/>
        <w:jc w:val="right"/>
        <w:textAlignment w:val="auto"/>
        <w:rPr>
          <w:rFonts w:hint="eastAsia" w:ascii="方正仿宋_GBK" w:hAnsi="方正仿宋_GBK" w:eastAsia="方正仿宋_GBK" w:cs="方正仿宋_GBK"/>
          <w:kern w:val="0"/>
          <w:sz w:val="32"/>
          <w:szCs w:val="32"/>
          <w:shd w:val="clear" w:color="auto" w:fill="FFFFFF"/>
          <w:lang w:val="en-US" w:eastAsia="zh-CN" w:bidi="ar-SA"/>
        </w:rPr>
      </w:pPr>
      <w:r>
        <w:rPr>
          <w:rFonts w:hint="eastAsia" w:ascii="方正仿宋_GBK" w:hAnsi="方正仿宋_GBK" w:eastAsia="方正仿宋_GBK" w:cs="方正仿宋_GBK"/>
          <w:kern w:val="0"/>
          <w:sz w:val="32"/>
          <w:szCs w:val="32"/>
          <w:shd w:val="clear" w:color="auto" w:fill="FFFFFF"/>
          <w:lang w:val="en-US" w:eastAsia="zh-CN" w:bidi="ar-SA"/>
        </w:rPr>
        <w:t>重庆市</w:t>
      </w:r>
      <w:r>
        <w:rPr>
          <w:rFonts w:hint="default" w:ascii="Times New Roman" w:hAnsi="Times New Roman" w:eastAsia="方正仿宋_GBK" w:cs="Times New Roman"/>
          <w:b w:val="0"/>
          <w:bCs w:val="0"/>
          <w:color w:val="auto"/>
          <w:sz w:val="32"/>
          <w:szCs w:val="32"/>
          <w:lang w:eastAsia="zh-CN"/>
        </w:rPr>
        <w:t>巴南区生态环境局</w:t>
      </w:r>
      <w:r>
        <w:rPr>
          <w:rFonts w:hint="default" w:ascii="方正仿宋_GBK" w:hAnsi="方正仿宋_GBK" w:eastAsia="方正仿宋_GBK" w:cs="方正仿宋_GBK"/>
          <w:kern w:val="0"/>
          <w:sz w:val="32"/>
          <w:szCs w:val="32"/>
          <w:shd w:val="clear" w:color="auto" w:fill="FFFFFF"/>
          <w:lang w:eastAsia="zh-CN" w:bidi="ar-SA"/>
        </w:rPr>
        <w:t xml:space="preserve">   </w:t>
      </w:r>
    </w:p>
    <w:p w14:paraId="59279FCA">
      <w:pPr>
        <w:keepNext w:val="0"/>
        <w:keepLines w:val="0"/>
        <w:pageBreakBefore w:val="0"/>
        <w:widowControl w:val="0"/>
        <w:kinsoku/>
        <w:overflowPunct/>
        <w:topLinePunct w:val="0"/>
        <w:autoSpaceDE/>
        <w:autoSpaceDN/>
        <w:bidi w:val="0"/>
        <w:adjustRightInd/>
        <w:snapToGrid/>
        <w:spacing w:line="600" w:lineRule="exact"/>
        <w:ind w:left="0" w:leftChars="0" w:right="0" w:rightChars="0" w:firstLine="5315" w:firstLineChars="1661"/>
        <w:jc w:val="left"/>
        <w:textAlignment w:val="auto"/>
        <w:rPr>
          <w:rFonts w:hint="eastAsia" w:ascii="方正仿宋_GBK" w:hAnsi="方正仿宋_GBK" w:eastAsia="方正仿宋_GBK" w:cs="方正仿宋_GBK"/>
          <w:kern w:val="0"/>
          <w:sz w:val="32"/>
          <w:szCs w:val="32"/>
          <w:shd w:val="clear" w:color="auto" w:fill="FFFFFF"/>
          <w:lang w:val="en-US" w:eastAsia="zh-CN" w:bidi="ar-SA"/>
        </w:rPr>
      </w:pPr>
      <w:r>
        <w:rPr>
          <w:rFonts w:hint="eastAsia" w:ascii="方正仿宋_GBK" w:hAnsi="方正仿宋_GBK" w:eastAsia="方正仿宋_GBK" w:cs="方正仿宋_GBK"/>
          <w:kern w:val="0"/>
          <w:sz w:val="32"/>
          <w:szCs w:val="32"/>
          <w:shd w:val="clear" w:color="auto" w:fill="FFFFFF"/>
          <w:lang w:val="en-US" w:eastAsia="zh-CN" w:bidi="ar-SA"/>
        </w:rPr>
        <w:t>2025年6月25日</w:t>
      </w:r>
      <w:r>
        <w:t xml:space="preserve"> </w:t>
      </w:r>
    </w:p>
    <w:p w14:paraId="2939EBA8">
      <w:pPr>
        <w:keepNext w:val="0"/>
        <w:keepLines w:val="0"/>
        <w:pageBreakBefore w:val="0"/>
        <w:widowControl w:val="0"/>
        <w:kinsoku/>
        <w:overflowPunct/>
        <w:topLinePunct w:val="0"/>
        <w:autoSpaceDE/>
        <w:autoSpaceDN/>
        <w:bidi w:val="0"/>
        <w:adjustRightInd/>
        <w:snapToGrid/>
        <w:spacing w:line="600" w:lineRule="exact"/>
        <w:ind w:left="0" w:leftChars="0" w:right="0" w:rightChars="0" w:firstLine="640" w:firstLineChars="200"/>
        <w:textAlignment w:val="auto"/>
        <w:rPr>
          <w:rFonts w:hint="eastAsia" w:ascii="方正仿宋_GBK" w:hAnsi="方正仿宋_GBK" w:eastAsia="方正仿宋_GBK" w:cs="方正仿宋_GBK"/>
          <w:kern w:val="0"/>
          <w:sz w:val="32"/>
          <w:szCs w:val="32"/>
          <w:shd w:val="clear" w:color="auto" w:fill="FFFFFF"/>
          <w:lang w:val="en-US" w:eastAsia="zh-CN" w:bidi="ar-SA"/>
        </w:rPr>
      </w:pPr>
      <w:r>
        <w:rPr>
          <w:rFonts w:hint="eastAsia" w:ascii="方正仿宋_GBK" w:hAnsi="方正仿宋_GBK" w:eastAsia="方正仿宋_GBK" w:cs="方正仿宋_GBK"/>
          <w:kern w:val="0"/>
          <w:sz w:val="32"/>
          <w:szCs w:val="32"/>
          <w:shd w:val="clear" w:color="auto" w:fill="FFFFFF"/>
          <w:lang w:val="en-US" w:eastAsia="zh-CN" w:bidi="ar-SA"/>
        </w:rPr>
        <w:t>（此件公开发布）</w:t>
      </w:r>
    </w:p>
    <w:p w14:paraId="70FED87C">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textAlignment w:val="auto"/>
        <w:rPr>
          <w:rFonts w:hint="eastAsia" w:ascii="黑体" w:hAnsi="黑体" w:eastAsia="黑体" w:cs="黑体"/>
          <w:i w:val="0"/>
          <w:caps w:val="0"/>
          <w:color w:val="333333"/>
          <w:spacing w:val="0"/>
          <w:sz w:val="32"/>
          <w:szCs w:val="32"/>
          <w:shd w:val="clear" w:fill="FFFFFF"/>
          <w:lang w:val="en-US" w:eastAsia="zh-CN"/>
        </w:rPr>
      </w:pPr>
    </w:p>
    <w:p w14:paraId="48E835D0">
      <w:pPr>
        <w:pStyle w:val="7"/>
        <w:keepNext w:val="0"/>
        <w:keepLines w:val="0"/>
        <w:pageBreakBefore w:val="0"/>
        <w:widowControl/>
        <w:suppressLineNumbers w:val="0"/>
        <w:shd w:val="clear" w:fill="FFFFFF"/>
        <w:kinsoku/>
        <w:overflowPunct/>
        <w:topLinePunct w:val="0"/>
        <w:bidi w:val="0"/>
        <w:spacing w:line="600" w:lineRule="atLeast"/>
        <w:ind w:right="0" w:rightChars="0"/>
        <w:jc w:val="both"/>
        <w:textAlignment w:val="auto"/>
        <w:rPr>
          <w:rFonts w:hint="eastAsia" w:ascii="方正仿宋_GBK" w:hAnsi="方正仿宋_GBK" w:eastAsia="方正仿宋_GBK" w:cs="方正仿宋_GBK"/>
          <w:kern w:val="0"/>
          <w:sz w:val="32"/>
          <w:szCs w:val="32"/>
          <w:shd w:val="clear" w:color="auto" w:fill="FFFFFF"/>
          <w:lang w:val="en-US" w:eastAsia="zh-CN" w:bidi="ar-SA"/>
        </w:rPr>
      </w:pPr>
    </w:p>
    <w:p w14:paraId="0D19175D">
      <w:pPr>
        <w:keepNext w:val="0"/>
        <w:keepLines w:val="0"/>
        <w:pageBreakBefore w:val="0"/>
        <w:kinsoku/>
        <w:overflowPunct/>
        <w:topLinePunct w:val="0"/>
        <w:bidi w:val="0"/>
        <w:spacing w:line="600" w:lineRule="atLeast"/>
        <w:ind w:left="0" w:leftChars="0" w:right="0" w:rightChars="0"/>
        <w:jc w:val="center"/>
        <w:textAlignment w:val="auto"/>
        <w:rPr>
          <w:rFonts w:hint="eastAsia" w:ascii="方正小标宋_GBK" w:hAnsi="方正小标宋_GBK" w:eastAsia="方正小标宋_GBK" w:cs="方正小标宋_GBK"/>
          <w:kern w:val="0"/>
          <w:sz w:val="44"/>
          <w:szCs w:val="44"/>
          <w:shd w:val="clear" w:color="auto" w:fill="FFFFFF"/>
          <w:lang w:val="en-US" w:eastAsia="zh-CN" w:bidi="ar-SA"/>
        </w:rPr>
      </w:pPr>
    </w:p>
    <w:p w14:paraId="70C6BA32">
      <w:pPr>
        <w:keepNext w:val="0"/>
        <w:keepLines w:val="0"/>
        <w:pageBreakBefore w:val="0"/>
        <w:kinsoku/>
        <w:overflowPunct/>
        <w:topLinePunct w:val="0"/>
        <w:bidi w:val="0"/>
        <w:spacing w:line="600" w:lineRule="atLeast"/>
        <w:ind w:left="0" w:leftChars="0" w:right="0" w:rightChars="0"/>
        <w:jc w:val="center"/>
        <w:textAlignment w:val="auto"/>
        <w:rPr>
          <w:rFonts w:hint="eastAsia" w:ascii="方正小标宋_GBK" w:hAnsi="方正小标宋_GBK" w:eastAsia="方正小标宋_GBK" w:cs="方正小标宋_GBK"/>
          <w:kern w:val="0"/>
          <w:sz w:val="44"/>
          <w:szCs w:val="44"/>
          <w:shd w:val="clear" w:color="auto" w:fill="FFFFFF"/>
          <w:lang w:val="en-US" w:eastAsia="zh-CN" w:bidi="ar-SA"/>
        </w:rPr>
      </w:pPr>
    </w:p>
    <w:p w14:paraId="26CDA225">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_GBK" w:hAnsi="方正小标宋_GBK" w:eastAsia="方正小标宋_GBK" w:cs="方正小标宋_GBK"/>
          <w:color w:val="auto"/>
          <w:spacing w:val="20"/>
          <w:sz w:val="44"/>
          <w:szCs w:val="44"/>
          <w:highlight w:val="none"/>
          <w:lang w:val="en-US" w:eastAsia="zh-CN"/>
        </w:rPr>
      </w:pPr>
    </w:p>
    <w:p w14:paraId="4CFA5F1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color w:val="auto"/>
          <w:spacing w:val="20"/>
          <w:sz w:val="44"/>
          <w:szCs w:val="44"/>
          <w:highlight w:val="none"/>
          <w:lang w:val="en-US" w:eastAsia="zh-CN"/>
        </w:rPr>
      </w:pPr>
      <w:r>
        <w:rPr>
          <w:rFonts w:hint="eastAsia" w:ascii="方正小标宋_GBK" w:hAnsi="方正小标宋_GBK" w:eastAsia="方正小标宋_GBK" w:cs="方正小标宋_GBK"/>
          <w:color w:val="auto"/>
          <w:spacing w:val="20"/>
          <w:sz w:val="44"/>
          <w:szCs w:val="44"/>
          <w:highlight w:val="none"/>
          <w:lang w:val="en-US" w:eastAsia="zh-CN"/>
        </w:rPr>
        <w:t>巴南区</w:t>
      </w:r>
      <w:r>
        <w:rPr>
          <w:rFonts w:hint="eastAsia" w:ascii="方正小标宋_GBK" w:hAnsi="方正小标宋_GBK" w:eastAsia="方正小标宋_GBK" w:cs="方正小标宋_GBK"/>
          <w:color w:val="auto"/>
          <w:spacing w:val="20"/>
          <w:sz w:val="44"/>
          <w:szCs w:val="44"/>
          <w:highlight w:val="none"/>
        </w:rPr>
        <w:t>一般工业固体废物</w:t>
      </w:r>
      <w:r>
        <w:rPr>
          <w:rFonts w:hint="eastAsia" w:ascii="方正小标宋_GBK" w:hAnsi="方正小标宋_GBK" w:eastAsia="方正小标宋_GBK" w:cs="方正小标宋_GBK"/>
          <w:color w:val="auto"/>
          <w:spacing w:val="20"/>
          <w:sz w:val="44"/>
          <w:szCs w:val="44"/>
          <w:highlight w:val="none"/>
          <w:lang w:val="en-US" w:eastAsia="zh-CN"/>
        </w:rPr>
        <w:t>规范化环境管理</w:t>
      </w:r>
    </w:p>
    <w:p w14:paraId="3D5D096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color w:val="auto"/>
          <w:sz w:val="44"/>
          <w:szCs w:val="44"/>
          <w:highlight w:val="none"/>
          <w:lang w:val="en-US" w:eastAsia="zh-CN"/>
        </w:rPr>
      </w:pPr>
      <w:r>
        <w:rPr>
          <w:rFonts w:hint="eastAsia" w:ascii="方正小标宋_GBK" w:hAnsi="方正小标宋_GBK" w:eastAsia="方正小标宋_GBK" w:cs="方正小标宋_GBK"/>
          <w:color w:val="auto"/>
          <w:spacing w:val="20"/>
          <w:sz w:val="44"/>
          <w:szCs w:val="44"/>
          <w:highlight w:val="none"/>
          <w:lang w:val="en-US" w:eastAsia="zh-CN"/>
        </w:rPr>
        <w:t>评估指南</w:t>
      </w:r>
    </w:p>
    <w:p w14:paraId="707ECEF5">
      <w:pPr>
        <w:keepNext w:val="0"/>
        <w:keepLines w:val="0"/>
        <w:pageBreakBefore w:val="0"/>
        <w:kinsoku/>
        <w:overflowPunct/>
        <w:topLinePunct w:val="0"/>
        <w:bidi w:val="0"/>
        <w:spacing w:line="600" w:lineRule="atLeast"/>
        <w:ind w:left="0" w:leftChars="0" w:right="0" w:rightChars="0"/>
        <w:jc w:val="center"/>
        <w:textAlignment w:val="auto"/>
        <w:rPr>
          <w:rFonts w:hint="eastAsia" w:ascii="方正仿宋_GBK" w:hAnsi="方正仿宋_GBK" w:eastAsia="方正仿宋_GBK" w:cs="方正仿宋_GBK"/>
          <w:kern w:val="0"/>
          <w:sz w:val="32"/>
          <w:szCs w:val="32"/>
          <w:shd w:val="clear" w:color="auto" w:fill="FFFFFF"/>
          <w:lang w:val="en-US" w:eastAsia="zh-CN" w:bidi="ar-SA"/>
        </w:rPr>
      </w:pPr>
    </w:p>
    <w:p w14:paraId="52656357">
      <w:pPr>
        <w:spacing w:line="600" w:lineRule="atLeast"/>
        <w:ind w:firstLine="640" w:firstLineChars="200"/>
        <w:jc w:val="both"/>
        <w:outlineLvl w:val="9"/>
        <w:rPr>
          <w:rFonts w:hint="eastAsia" w:ascii="方正仿宋_GBK" w:hAnsi="方正仿宋_GBK" w:eastAsia="方正仿宋_GBK" w:cs="方正仿宋_GBK"/>
          <w:kern w:val="0"/>
          <w:sz w:val="32"/>
          <w:szCs w:val="32"/>
          <w:shd w:val="clear" w:color="auto" w:fill="FFFFFF"/>
          <w:lang w:val="en-US" w:eastAsia="zh-CN" w:bidi="ar-SA"/>
        </w:rPr>
      </w:pPr>
      <w:r>
        <w:rPr>
          <w:rFonts w:hint="default" w:ascii="Times New Roman" w:hAnsi="Times New Roman" w:eastAsia="方正仿宋_GBK" w:cs="Times New Roman"/>
          <w:b w:val="0"/>
          <w:bCs w:val="0"/>
          <w:color w:val="auto"/>
          <w:sz w:val="32"/>
          <w:szCs w:val="32"/>
          <w:highlight w:val="none"/>
          <w:lang w:val="en-US" w:eastAsia="zh-CN"/>
        </w:rPr>
        <w:t>为贯彻落实《中华人民共和国固体废物污染环境防治法》（中华人民共和国主席令 第四十三号），进一步规范全区一般工业固体废物产生单位的环境管理工作，切实提高管理水平，强化监管能力，结合国家对一般工业固体废物规范化环境管理的工作部署，制定本指南</w:t>
      </w:r>
      <w:r>
        <w:rPr>
          <w:rFonts w:hint="default" w:ascii="Times New Roman" w:hAnsi="Times New Roman" w:eastAsia="方正仿宋_GBK" w:cs="Times New Roman"/>
          <w:color w:val="auto"/>
          <w:kern w:val="2"/>
          <w:sz w:val="32"/>
          <w:szCs w:val="32"/>
          <w:shd w:val="clear" w:color="auto" w:fill="auto"/>
          <w:lang w:val="en-US" w:eastAsia="zh-CN" w:bidi="ar-SA"/>
        </w:rPr>
        <w:t>。</w:t>
      </w:r>
    </w:p>
    <w:p w14:paraId="4C2C723D">
      <w:pPr>
        <w:keepNext w:val="0"/>
        <w:keepLines w:val="0"/>
        <w:pageBreakBefore w:val="0"/>
        <w:widowControl w:val="0"/>
        <w:kinsoku/>
        <w:wordWrap/>
        <w:overflowPunct/>
        <w:topLinePunct w:val="0"/>
        <w:autoSpaceDE/>
        <w:autoSpaceDN/>
        <w:bidi w:val="0"/>
        <w:adjustRightInd/>
        <w:snapToGrid/>
        <w:spacing w:line="600" w:lineRule="atLeast"/>
        <w:ind w:firstLine="640" w:firstLineChars="200"/>
        <w:jc w:val="both"/>
        <w:textAlignment w:val="auto"/>
        <w:outlineLvl w:val="0"/>
        <w:rPr>
          <w:rFonts w:hint="eastAsia" w:ascii="方正黑体_GBK" w:hAnsi="方正黑体_GBK" w:eastAsia="方正黑体_GBK" w:cs="方正黑体_GBK"/>
          <w:b w:val="0"/>
          <w:bCs w:val="0"/>
          <w:color w:val="auto"/>
          <w:sz w:val="32"/>
          <w:szCs w:val="32"/>
          <w:highlight w:val="none"/>
          <w:lang w:val="en-US" w:eastAsia="zh-CN"/>
        </w:rPr>
      </w:pPr>
      <w:r>
        <w:rPr>
          <w:rFonts w:hint="eastAsia" w:ascii="方正黑体_GBK" w:hAnsi="方正黑体_GBK" w:eastAsia="方正黑体_GBK" w:cs="方正黑体_GBK"/>
          <w:b w:val="0"/>
          <w:bCs w:val="0"/>
          <w:color w:val="auto"/>
          <w:sz w:val="32"/>
          <w:szCs w:val="32"/>
          <w:highlight w:val="none"/>
          <w:lang w:val="en-US" w:eastAsia="zh-CN"/>
        </w:rPr>
        <w:t>一、适用范围</w:t>
      </w:r>
    </w:p>
    <w:p w14:paraId="230191FD">
      <w:pPr>
        <w:spacing w:line="600" w:lineRule="atLeast"/>
        <w:ind w:firstLine="640" w:firstLineChars="200"/>
        <w:jc w:val="both"/>
        <w:outlineLvl w:val="9"/>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rPr>
        <w:t>本指南适用于</w:t>
      </w:r>
      <w:r>
        <w:rPr>
          <w:rFonts w:hint="default" w:ascii="Times New Roman" w:hAnsi="Times New Roman" w:eastAsia="方正仿宋_GBK" w:cs="Times New Roman"/>
          <w:b w:val="0"/>
          <w:bCs w:val="0"/>
          <w:color w:val="auto"/>
          <w:sz w:val="32"/>
          <w:szCs w:val="32"/>
          <w:highlight w:val="none"/>
          <w:lang w:val="en-US" w:eastAsia="zh-CN"/>
        </w:rPr>
        <w:t>巴南区产生一般工业固体废物的规模以</w:t>
      </w:r>
      <w:r>
        <w:rPr>
          <w:rFonts w:hint="eastAsia" w:ascii="方正仿宋_GBK" w:hAnsi="方正仿宋_GBK" w:eastAsia="方正仿宋_GBK" w:cs="方正仿宋_GBK"/>
          <w:b w:val="0"/>
          <w:bCs w:val="0"/>
          <w:color w:val="auto"/>
          <w:sz w:val="32"/>
          <w:szCs w:val="32"/>
          <w:highlight w:val="none"/>
          <w:lang w:val="en-US" w:eastAsia="zh-CN"/>
        </w:rPr>
        <w:t>上</w:t>
      </w:r>
      <w:r>
        <w:rPr>
          <w:rStyle w:val="13"/>
          <w:rFonts w:hint="eastAsia" w:ascii="方正仿宋_GBK" w:hAnsi="方正仿宋_GBK" w:eastAsia="方正仿宋_GBK" w:cs="方正仿宋_GBK"/>
          <w:b w:val="0"/>
          <w:bCs w:val="0"/>
          <w:color w:val="auto"/>
          <w:sz w:val="32"/>
          <w:szCs w:val="32"/>
          <w:highlight w:val="none"/>
          <w:lang w:val="en-US" w:eastAsia="zh-CN"/>
        </w:rPr>
        <w:footnoteReference w:id="0"/>
      </w:r>
      <w:r>
        <w:rPr>
          <w:rFonts w:hint="default" w:ascii="Times New Roman" w:hAnsi="Times New Roman" w:eastAsia="方正仿宋_GBK" w:cs="Times New Roman"/>
          <w:b w:val="0"/>
          <w:bCs w:val="0"/>
          <w:color w:val="auto"/>
          <w:sz w:val="32"/>
          <w:szCs w:val="32"/>
          <w:highlight w:val="none"/>
          <w:vertAlign w:val="baseline"/>
          <w:lang w:val="en-US" w:eastAsia="zh-CN"/>
          <w14:ligatures w14:val="none"/>
        </w:rPr>
        <w:t>、</w:t>
      </w:r>
      <w:r>
        <w:rPr>
          <w:rFonts w:hint="default" w:ascii="Times New Roman" w:hAnsi="Times New Roman" w:eastAsia="方正仿宋_GBK" w:cs="Times New Roman"/>
          <w:b w:val="0"/>
          <w:bCs w:val="0"/>
          <w:color w:val="auto"/>
          <w:sz w:val="32"/>
          <w:szCs w:val="32"/>
          <w:highlight w:val="none"/>
          <w:lang w:val="en-US" w:eastAsia="zh-CN"/>
        </w:rPr>
        <w:t>年产生量100吨及以上（近三年内）的工业企业。其他企业可参照执行。</w:t>
      </w:r>
    </w:p>
    <w:p w14:paraId="64C71173">
      <w:pPr>
        <w:keepNext w:val="0"/>
        <w:keepLines w:val="0"/>
        <w:pageBreakBefore w:val="0"/>
        <w:widowControl w:val="0"/>
        <w:kinsoku/>
        <w:wordWrap/>
        <w:overflowPunct/>
        <w:topLinePunct w:val="0"/>
        <w:autoSpaceDE/>
        <w:autoSpaceDN/>
        <w:bidi w:val="0"/>
        <w:adjustRightInd/>
        <w:snapToGrid/>
        <w:spacing w:line="600" w:lineRule="atLeast"/>
        <w:ind w:firstLine="640" w:firstLineChars="200"/>
        <w:jc w:val="both"/>
        <w:textAlignment w:val="auto"/>
        <w:outlineLvl w:val="0"/>
        <w:rPr>
          <w:rFonts w:hint="eastAsia" w:ascii="方正黑体_GBK" w:hAnsi="方正黑体_GBK" w:eastAsia="方正黑体_GBK" w:cs="方正黑体_GBK"/>
          <w:b w:val="0"/>
          <w:bCs w:val="0"/>
          <w:color w:val="auto"/>
          <w:sz w:val="32"/>
          <w:szCs w:val="32"/>
          <w:highlight w:val="none"/>
          <w:lang w:val="en-US" w:eastAsia="zh-CN"/>
        </w:rPr>
      </w:pPr>
      <w:r>
        <w:rPr>
          <w:rFonts w:hint="eastAsia" w:ascii="方正黑体_GBK" w:hAnsi="方正黑体_GBK" w:eastAsia="方正黑体_GBK" w:cs="方正黑体_GBK"/>
          <w:b w:val="0"/>
          <w:bCs w:val="0"/>
          <w:color w:val="auto"/>
          <w:sz w:val="32"/>
          <w:szCs w:val="32"/>
          <w:highlight w:val="none"/>
          <w:lang w:val="en-US" w:eastAsia="zh-CN"/>
        </w:rPr>
        <w:t>二、相关依据</w:t>
      </w:r>
    </w:p>
    <w:p w14:paraId="49457B94">
      <w:pPr>
        <w:numPr>
          <w:ilvl w:val="0"/>
          <w:numId w:val="1"/>
        </w:numPr>
        <w:spacing w:line="600" w:lineRule="atLeas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《中华人民共和国固体废物污染环境防治法》（中华人民共和国主席令第四十三号）。</w:t>
      </w:r>
    </w:p>
    <w:p w14:paraId="02FA0272">
      <w:pPr>
        <w:numPr>
          <w:ilvl w:val="0"/>
          <w:numId w:val="1"/>
        </w:numPr>
        <w:spacing w:line="600" w:lineRule="atLeas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《中华人民共和国清洁生产促进法》（中华人民共和国主席令第72号）。</w:t>
      </w:r>
    </w:p>
    <w:p w14:paraId="10FD9B2F">
      <w:pPr>
        <w:numPr>
          <w:ilvl w:val="0"/>
          <w:numId w:val="1"/>
        </w:numPr>
        <w:spacing w:line="600" w:lineRule="atLeas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《排污许可管理条例》（国务院令第736号）。</w:t>
      </w:r>
    </w:p>
    <w:p w14:paraId="79ECB9D4">
      <w:pPr>
        <w:numPr>
          <w:ilvl w:val="0"/>
          <w:numId w:val="1"/>
        </w:numPr>
        <w:spacing w:line="600" w:lineRule="atLeas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《排污许可管理办法》（生态环境部令第32号）。</w:t>
      </w:r>
    </w:p>
    <w:p w14:paraId="5A9E47F1">
      <w:pPr>
        <w:numPr>
          <w:ilvl w:val="0"/>
          <w:numId w:val="1"/>
        </w:numPr>
        <w:spacing w:line="600" w:lineRule="atLeas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《尾矿污染环境防治管理办法》（生态环境部令第26号）。</w:t>
      </w:r>
    </w:p>
    <w:p w14:paraId="54E800F7">
      <w:pPr>
        <w:numPr>
          <w:ilvl w:val="0"/>
          <w:numId w:val="1"/>
        </w:numPr>
        <w:spacing w:line="600" w:lineRule="atLeas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《企业环境信息依法披露管理办法》（生态环境部令第24号）。</w:t>
      </w:r>
    </w:p>
    <w:p w14:paraId="4DE2027F">
      <w:pPr>
        <w:numPr>
          <w:ilvl w:val="0"/>
          <w:numId w:val="1"/>
        </w:numPr>
        <w:spacing w:line="600" w:lineRule="atLeas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《一般工业固体废物管理台账制定指南（试行）》（生态环境部公告2021年第82号）。</w:t>
      </w:r>
    </w:p>
    <w:p w14:paraId="7E64FB94">
      <w:pPr>
        <w:numPr>
          <w:ilvl w:val="0"/>
          <w:numId w:val="1"/>
        </w:numPr>
        <w:spacing w:line="600" w:lineRule="atLeas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《固体废物分类与代码目录》（生态环境部公告2024年第4号）。</w:t>
      </w:r>
    </w:p>
    <w:p w14:paraId="0D989031">
      <w:pPr>
        <w:numPr>
          <w:ilvl w:val="0"/>
          <w:numId w:val="1"/>
        </w:numPr>
        <w:spacing w:line="600" w:lineRule="atLeas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《尾矿库污染隐患排查治理工作指南（试行）》（生态环境部公告2022年第10号）。</w:t>
      </w:r>
    </w:p>
    <w:p w14:paraId="4D5D3824">
      <w:pPr>
        <w:numPr>
          <w:ilvl w:val="0"/>
          <w:numId w:val="1"/>
        </w:numPr>
        <w:spacing w:line="600" w:lineRule="atLeas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《清洁生产审核办法》（国家发展改革委、环境保护部令第38号）。</w:t>
      </w:r>
    </w:p>
    <w:p w14:paraId="7E0F2F35">
      <w:pPr>
        <w:numPr>
          <w:ilvl w:val="0"/>
          <w:numId w:val="1"/>
        </w:numPr>
        <w:spacing w:line="600" w:lineRule="atLeas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《关于开展工业固体废物排污许可管理工作的通知》（环办环评〔2021〕26号）。</w:t>
      </w:r>
    </w:p>
    <w:p w14:paraId="5646ECBA">
      <w:pPr>
        <w:numPr>
          <w:ilvl w:val="0"/>
          <w:numId w:val="1"/>
        </w:numPr>
        <w:spacing w:line="600" w:lineRule="atLeas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《企业环境信息依法披露格式准则》（环办综合〔2021〕32号）。</w:t>
      </w:r>
    </w:p>
    <w:p w14:paraId="34985B94">
      <w:pPr>
        <w:numPr>
          <w:ilvl w:val="0"/>
          <w:numId w:val="1"/>
        </w:numPr>
        <w:spacing w:line="600" w:lineRule="atLeas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《一般工业固体废物贮存和填埋污染控制标准》（GB 18599）。</w:t>
      </w:r>
    </w:p>
    <w:p w14:paraId="2277A155">
      <w:pPr>
        <w:numPr>
          <w:ilvl w:val="0"/>
          <w:numId w:val="1"/>
        </w:numPr>
        <w:spacing w:line="600" w:lineRule="atLeas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《固体废物鉴别标准 通则》（GB 34330）。</w:t>
      </w:r>
    </w:p>
    <w:p w14:paraId="51D0EB0A">
      <w:pPr>
        <w:numPr>
          <w:ilvl w:val="0"/>
          <w:numId w:val="1"/>
        </w:numPr>
        <w:spacing w:line="600" w:lineRule="atLeas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《环境保护图形标志 固体废物贮存（处置）场》（GB 15562.2）。</w:t>
      </w:r>
    </w:p>
    <w:p w14:paraId="26F55745">
      <w:pPr>
        <w:numPr>
          <w:ilvl w:val="0"/>
          <w:numId w:val="1"/>
        </w:numPr>
        <w:spacing w:line="600" w:lineRule="atLeas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《排污许可证申请与核发技术规范 工业固体废物（试行）》（HJ 1200）。</w:t>
      </w:r>
    </w:p>
    <w:p w14:paraId="4A672AD5">
      <w:pPr>
        <w:numPr>
          <w:ilvl w:val="0"/>
          <w:numId w:val="1"/>
        </w:numPr>
        <w:spacing w:line="600" w:lineRule="atLeas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《重庆市环境信息依法披露制度改革工作方案》（渝环规〔2021〕8号）。</w:t>
      </w:r>
    </w:p>
    <w:p w14:paraId="1014E932">
      <w:pPr>
        <w:numPr>
          <w:ilvl w:val="0"/>
          <w:numId w:val="1"/>
        </w:numPr>
        <w:spacing w:line="600" w:lineRule="atLeas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《重庆市生态环境局关于强化固体废物信息化管理有关工作的通知》（渝环规〔2021〕3号）。</w:t>
      </w:r>
    </w:p>
    <w:p w14:paraId="5695836C">
      <w:pPr>
        <w:numPr>
          <w:ilvl w:val="0"/>
          <w:numId w:val="1"/>
        </w:numPr>
        <w:spacing w:line="600" w:lineRule="atLeas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重庆市</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十四五</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工业固体废物污染环境防治规划</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eastAsia="zh-CN"/>
        </w:rPr>
        <w:t>渝</w:t>
      </w:r>
      <w:r>
        <w:rPr>
          <w:rFonts w:hint="eastAsia" w:ascii="方正仿宋_GBK" w:hAnsi="方正仿宋_GBK" w:eastAsia="方正仿宋_GBK" w:cs="方正仿宋_GBK"/>
          <w:b w:val="0"/>
          <w:bCs w:val="0"/>
          <w:color w:val="auto"/>
          <w:sz w:val="32"/>
          <w:szCs w:val="32"/>
          <w:highlight w:val="none"/>
          <w:lang w:val="en-US" w:eastAsia="zh-CN"/>
        </w:rPr>
        <w:t>环</w:t>
      </w:r>
      <w:r>
        <w:rPr>
          <w:rFonts w:hint="eastAsia" w:ascii="方正仿宋_GBK" w:hAnsi="方正仿宋_GBK" w:eastAsia="方正仿宋_GBK" w:cs="方正仿宋_GBK"/>
          <w:b w:val="0"/>
          <w:bCs w:val="0"/>
          <w:color w:val="auto"/>
          <w:sz w:val="32"/>
          <w:szCs w:val="32"/>
          <w:highlight w:val="none"/>
          <w:lang w:eastAsia="zh-CN"/>
        </w:rPr>
        <w:t>〔2022〕1</w:t>
      </w:r>
      <w:r>
        <w:rPr>
          <w:rFonts w:hint="eastAsia" w:ascii="方正仿宋_GBK" w:hAnsi="方正仿宋_GBK" w:eastAsia="方正仿宋_GBK" w:cs="方正仿宋_GBK"/>
          <w:b w:val="0"/>
          <w:bCs w:val="0"/>
          <w:color w:val="auto"/>
          <w:sz w:val="32"/>
          <w:szCs w:val="32"/>
          <w:highlight w:val="none"/>
          <w:lang w:val="en-US" w:eastAsia="zh-CN"/>
        </w:rPr>
        <w:t>46</w:t>
      </w:r>
      <w:r>
        <w:rPr>
          <w:rFonts w:hint="eastAsia" w:ascii="方正仿宋_GBK" w:hAnsi="方正仿宋_GBK" w:eastAsia="方正仿宋_GBK" w:cs="方正仿宋_GBK"/>
          <w:b w:val="0"/>
          <w:bCs w:val="0"/>
          <w:color w:val="auto"/>
          <w:sz w:val="32"/>
          <w:szCs w:val="32"/>
          <w:highlight w:val="none"/>
          <w:lang w:eastAsia="zh-CN"/>
        </w:rPr>
        <w:t>号</w:t>
      </w:r>
      <w:r>
        <w:rPr>
          <w:rFonts w:hint="eastAsia" w:ascii="方正仿宋_GBK" w:hAnsi="方正仿宋_GBK" w:eastAsia="方正仿宋_GBK" w:cs="方正仿宋_GBK"/>
          <w:b w:val="0"/>
          <w:bCs w:val="0"/>
          <w:color w:val="auto"/>
          <w:sz w:val="32"/>
          <w:szCs w:val="32"/>
          <w:highlight w:val="none"/>
          <w:lang w:val="en-US" w:eastAsia="zh-CN"/>
        </w:rPr>
        <w:t>）。</w:t>
      </w:r>
    </w:p>
    <w:p w14:paraId="31E5F5FC">
      <w:pPr>
        <w:numPr>
          <w:ilvl w:val="0"/>
          <w:numId w:val="1"/>
        </w:numPr>
        <w:spacing w:line="600" w:lineRule="atLeast"/>
        <w:ind w:left="0" w:leftChars="0" w:firstLine="640" w:firstLineChars="200"/>
        <w:jc w:val="both"/>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eastAsia="zh-CN"/>
        </w:rPr>
        <w:t>重庆市生态环境保护“</w:t>
      </w:r>
      <w:r>
        <w:rPr>
          <w:rFonts w:hint="eastAsia" w:ascii="方正仿宋_GBK" w:hAnsi="方正仿宋_GBK" w:eastAsia="方正仿宋_GBK" w:cs="方正仿宋_GBK"/>
          <w:b w:val="0"/>
          <w:bCs w:val="0"/>
          <w:color w:val="auto"/>
          <w:sz w:val="32"/>
          <w:szCs w:val="32"/>
          <w:highlight w:val="none"/>
        </w:rPr>
        <w:t>十四五</w:t>
      </w:r>
      <w:r>
        <w:rPr>
          <w:rFonts w:hint="eastAsia" w:ascii="方正仿宋_GBK" w:hAnsi="方正仿宋_GBK" w:eastAsia="方正仿宋_GBK" w:cs="方正仿宋_GBK"/>
          <w:b w:val="0"/>
          <w:bCs w:val="0"/>
          <w:color w:val="auto"/>
          <w:sz w:val="32"/>
          <w:szCs w:val="32"/>
          <w:highlight w:val="none"/>
          <w:lang w:eastAsia="zh-CN"/>
        </w:rPr>
        <w:t>”规划（2021</w:t>
      </w:r>
      <w:r>
        <w:rPr>
          <w:rFonts w:hint="eastAsia" w:ascii="方正仿宋_GBK" w:hAnsi="方正仿宋_GBK" w:eastAsia="方正仿宋_GBK" w:cs="方正仿宋_GBK"/>
          <w:b w:val="0"/>
          <w:bCs w:val="0"/>
          <w:color w:val="auto"/>
          <w:sz w:val="32"/>
          <w:szCs w:val="32"/>
          <w:highlight w:val="none"/>
          <w:lang w:val="en-US" w:eastAsia="zh-CN"/>
        </w:rPr>
        <w:sym w:font="Symbol" w:char="002D"/>
      </w:r>
      <w:r>
        <w:rPr>
          <w:rFonts w:hint="eastAsia" w:ascii="方正仿宋_GBK" w:hAnsi="方正仿宋_GBK" w:eastAsia="方正仿宋_GBK" w:cs="方正仿宋_GBK"/>
          <w:b w:val="0"/>
          <w:bCs w:val="0"/>
          <w:color w:val="auto"/>
          <w:sz w:val="32"/>
          <w:szCs w:val="32"/>
          <w:highlight w:val="none"/>
          <w:lang w:eastAsia="zh-CN"/>
        </w:rPr>
        <w:t>2025年）</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eastAsia="zh-CN"/>
        </w:rPr>
        <w:t>渝府发〔2022〕11号</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eastAsia="zh-CN"/>
        </w:rPr>
        <w:t>。</w:t>
      </w:r>
    </w:p>
    <w:p w14:paraId="133EB46C">
      <w:pPr>
        <w:numPr>
          <w:ilvl w:val="0"/>
          <w:numId w:val="1"/>
        </w:numPr>
        <w:spacing w:line="600" w:lineRule="atLeast"/>
        <w:ind w:left="0" w:leftChars="0" w:firstLine="640" w:firstLineChars="200"/>
        <w:jc w:val="both"/>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rPr>
        <w:t>《重庆市</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十四五</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时期</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无废城市</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建设实施方案》（渝无废组〔2022〕1号）</w:t>
      </w:r>
      <w:r>
        <w:rPr>
          <w:rFonts w:hint="eastAsia" w:ascii="方正仿宋_GBK" w:hAnsi="方正仿宋_GBK" w:eastAsia="方正仿宋_GBK" w:cs="方正仿宋_GBK"/>
          <w:b w:val="0"/>
          <w:bCs w:val="0"/>
          <w:color w:val="auto"/>
          <w:sz w:val="32"/>
          <w:szCs w:val="32"/>
          <w:highlight w:val="none"/>
          <w:lang w:eastAsia="zh-CN"/>
        </w:rPr>
        <w:t>。</w:t>
      </w:r>
    </w:p>
    <w:p w14:paraId="7346D838">
      <w:pPr>
        <w:numPr>
          <w:ilvl w:val="0"/>
          <w:numId w:val="1"/>
        </w:numPr>
        <w:spacing w:line="600" w:lineRule="atLeas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rPr>
        <w:t>重庆市巴南区</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十四五</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时期</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无废城市</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建设实施方案</w:t>
      </w:r>
      <w:r>
        <w:rPr>
          <w:rFonts w:hint="eastAsia" w:ascii="方正仿宋_GBK" w:hAnsi="方正仿宋_GBK" w:eastAsia="方正仿宋_GBK" w:cs="方正仿宋_GBK"/>
          <w:b w:val="0"/>
          <w:bCs w:val="0"/>
          <w:color w:val="auto"/>
          <w:sz w:val="32"/>
          <w:szCs w:val="32"/>
          <w:highlight w:val="none"/>
          <w:lang w:val="en-US" w:eastAsia="zh-CN"/>
        </w:rPr>
        <w:t>》（巴南区生态环境局）。</w:t>
      </w:r>
    </w:p>
    <w:p w14:paraId="74CA21F7">
      <w:pPr>
        <w:keepNext w:val="0"/>
        <w:keepLines w:val="0"/>
        <w:pageBreakBefore w:val="0"/>
        <w:widowControl w:val="0"/>
        <w:kinsoku/>
        <w:wordWrap/>
        <w:overflowPunct/>
        <w:topLinePunct w:val="0"/>
        <w:autoSpaceDE/>
        <w:autoSpaceDN/>
        <w:bidi w:val="0"/>
        <w:adjustRightInd/>
        <w:snapToGrid/>
        <w:spacing w:line="600" w:lineRule="atLeast"/>
        <w:ind w:firstLine="640" w:firstLineChars="200"/>
        <w:jc w:val="both"/>
        <w:textAlignment w:val="auto"/>
        <w:outlineLvl w:val="0"/>
        <w:rPr>
          <w:rFonts w:hint="eastAsia" w:ascii="方正黑体_GBK" w:hAnsi="方正黑体_GBK" w:eastAsia="方正黑体_GBK" w:cs="方正黑体_GBK"/>
          <w:b w:val="0"/>
          <w:bCs w:val="0"/>
          <w:color w:val="auto"/>
          <w:sz w:val="32"/>
          <w:szCs w:val="32"/>
          <w:highlight w:val="none"/>
          <w:lang w:val="en-US" w:eastAsia="zh-CN"/>
        </w:rPr>
      </w:pPr>
      <w:r>
        <w:rPr>
          <w:rFonts w:hint="eastAsia" w:ascii="方正黑体_GBK" w:hAnsi="方正黑体_GBK" w:eastAsia="方正黑体_GBK" w:cs="方正黑体_GBK"/>
          <w:b w:val="0"/>
          <w:bCs w:val="0"/>
          <w:color w:val="auto"/>
          <w:sz w:val="32"/>
          <w:szCs w:val="32"/>
          <w:highlight w:val="none"/>
          <w:lang w:val="en-US" w:eastAsia="zh-CN"/>
        </w:rPr>
        <w:t>三、评估原则</w:t>
      </w:r>
    </w:p>
    <w:p w14:paraId="20733FBE">
      <w:pPr>
        <w:spacing w:line="600" w:lineRule="atLeast"/>
        <w:ind w:firstLine="640" w:firstLineChars="200"/>
        <w:jc w:val="left"/>
        <w:outlineLvl w:val="9"/>
        <w:rPr>
          <w:rFonts w:hint="eastAsia" w:ascii="方正仿宋_GBK" w:hAnsi="方正仿宋_GBK" w:eastAsia="方正仿宋_GBK" w:cs="方正仿宋_GBK"/>
          <w:b w:val="0"/>
          <w:bCs w:val="0"/>
          <w:color w:val="auto"/>
          <w:kern w:val="0"/>
          <w:sz w:val="32"/>
          <w:szCs w:val="32"/>
          <w:highlight w:val="none"/>
          <w:shd w:val="clear" w:color="auto" w:fill="FFFFFF"/>
          <w:lang w:val="en-US" w:eastAsia="zh-CN"/>
        </w:rPr>
      </w:pPr>
      <w:r>
        <w:rPr>
          <w:rFonts w:hint="eastAsia" w:ascii="方正仿宋_GBK" w:hAnsi="方正仿宋_GBK" w:eastAsia="方正仿宋_GBK" w:cs="方正仿宋_GBK"/>
          <w:b w:val="0"/>
          <w:bCs w:val="0"/>
          <w:color w:val="auto"/>
          <w:kern w:val="0"/>
          <w:sz w:val="32"/>
          <w:szCs w:val="32"/>
          <w:highlight w:val="none"/>
          <w:shd w:val="clear" w:color="auto" w:fill="FFFFFF"/>
          <w:lang w:val="en-US" w:eastAsia="zh-CN"/>
        </w:rPr>
        <w:t>为确保一般工业固体废物规范化管理评估的科学性、全面性和有效性，应遵循以下几点原则：</w:t>
      </w:r>
    </w:p>
    <w:p w14:paraId="7E9BA3E0">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（一）落实企业主体责任。</w:t>
      </w:r>
      <w:r>
        <w:rPr>
          <w:rFonts w:hint="eastAsia" w:ascii="方正仿宋_GBK" w:hAnsi="方正仿宋_GBK" w:eastAsia="方正仿宋_GBK" w:cs="方正仿宋_GBK"/>
          <w:b w:val="0"/>
          <w:bCs w:val="0"/>
          <w:color w:val="auto"/>
          <w:kern w:val="0"/>
          <w:sz w:val="32"/>
          <w:szCs w:val="32"/>
          <w:highlight w:val="none"/>
          <w:shd w:val="clear" w:color="auto" w:fill="FFFFFF"/>
          <w:lang w:val="en-US" w:eastAsia="zh-CN"/>
        </w:rPr>
        <w:t>强调一般工业固体废物产生</w:t>
      </w:r>
      <w:r>
        <w:rPr>
          <w:rFonts w:hint="eastAsia" w:ascii="方正仿宋_GBK" w:hAnsi="方正仿宋_GBK" w:eastAsia="方正仿宋_GBK" w:cs="方正仿宋_GBK"/>
          <w:b w:val="0"/>
          <w:bCs w:val="0"/>
          <w:color w:val="auto"/>
          <w:kern w:val="0"/>
          <w:sz w:val="32"/>
          <w:szCs w:val="32"/>
          <w:highlight w:val="none"/>
          <w:shd w:val="clear" w:color="auto" w:fill="FFFFFF"/>
          <w:lang w:val="en-US" w:eastAsia="zh-CN" w:bidi="ar-SA"/>
          <w14:ligatures w14:val="none"/>
        </w:rPr>
        <w:t>、收集、贮存、利用、处置</w:t>
      </w:r>
      <w:r>
        <w:rPr>
          <w:rFonts w:hint="eastAsia" w:ascii="方正仿宋_GBK" w:hAnsi="方正仿宋_GBK" w:eastAsia="方正仿宋_GBK" w:cs="方正仿宋_GBK"/>
          <w:b w:val="0"/>
          <w:bCs w:val="0"/>
          <w:color w:val="auto"/>
          <w:kern w:val="0"/>
          <w:sz w:val="32"/>
          <w:szCs w:val="32"/>
          <w:highlight w:val="none"/>
          <w:shd w:val="clear" w:color="auto" w:fill="FFFFFF"/>
          <w:lang w:val="en-US" w:eastAsia="zh-CN"/>
        </w:rPr>
        <w:t>单位应当全面承担起防止一般工业固体废物污染环境的法律责任，规范贮存、利用和处置一般工业固体废物，做好各环节台账管理及转移管理等工作，确保一般工业固体废物管理流程的完整性、合规性及可追溯性。</w:t>
      </w:r>
    </w:p>
    <w:p w14:paraId="3DBB79D7">
      <w:pPr>
        <w:spacing w:line="600" w:lineRule="atLeast"/>
        <w:ind w:firstLine="640" w:firstLineChars="200"/>
        <w:jc w:val="both"/>
        <w:rPr>
          <w:rFonts w:hint="eastAsia" w:ascii="方正仿宋_GBK" w:hAnsi="方正仿宋_GBK" w:eastAsia="方正仿宋_GBK" w:cs="方正仿宋_GBK"/>
          <w:b w:val="0"/>
          <w:bCs w:val="0"/>
          <w:color w:val="auto"/>
          <w:kern w:val="0"/>
          <w:sz w:val="32"/>
          <w:szCs w:val="32"/>
          <w:highlight w:val="none"/>
          <w:shd w:val="clear" w:color="auto" w:fill="FFFFFF"/>
          <w:lang w:val="en-US" w:eastAsia="zh-CN"/>
        </w:rPr>
      </w:pPr>
      <w:r>
        <w:rPr>
          <w:rFonts w:hint="eastAsia" w:ascii="方正楷体_GBK" w:hAnsi="方正楷体_GBK" w:eastAsia="方正楷体_GBK" w:cs="方正楷体_GBK"/>
          <w:b w:val="0"/>
          <w:bCs w:val="0"/>
          <w:color w:val="auto"/>
          <w:sz w:val="32"/>
          <w:szCs w:val="32"/>
          <w:highlight w:val="none"/>
          <w:lang w:val="en-US" w:eastAsia="zh-CN"/>
        </w:rPr>
        <w:t>（二）促进常态化评估。</w:t>
      </w:r>
      <w:r>
        <w:rPr>
          <w:rFonts w:hint="eastAsia" w:ascii="方正仿宋_GBK" w:hAnsi="方正仿宋_GBK" w:eastAsia="方正仿宋_GBK" w:cs="方正仿宋_GBK"/>
          <w:b w:val="0"/>
          <w:bCs w:val="0"/>
          <w:color w:val="auto"/>
          <w:kern w:val="0"/>
          <w:sz w:val="32"/>
          <w:szCs w:val="32"/>
          <w:highlight w:val="none"/>
          <w:shd w:val="clear" w:color="auto" w:fill="FFFFFF"/>
          <w:lang w:val="en-US" w:eastAsia="zh-CN"/>
        </w:rPr>
        <w:t>明确本级生态环境部门在一般工业固体废物规范化环境管理评估工作中负责统筹协调的具体职责，同时，鼓励涉及一般工业固体废物的相关单位定期开展自评估，形成上下联动的常态化评估格局。</w:t>
      </w:r>
    </w:p>
    <w:p w14:paraId="260213AA">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（三）坚持重点聚焦与以点带面。</w:t>
      </w:r>
      <w:r>
        <w:rPr>
          <w:rFonts w:hint="eastAsia" w:ascii="方正仿宋_GBK" w:hAnsi="方正仿宋_GBK" w:eastAsia="方正仿宋_GBK" w:cs="方正仿宋_GBK"/>
          <w:b w:val="0"/>
          <w:bCs w:val="0"/>
          <w:color w:val="auto"/>
          <w:sz w:val="32"/>
          <w:szCs w:val="32"/>
          <w:highlight w:val="none"/>
          <w:lang w:val="en-US" w:eastAsia="zh-CN"/>
        </w:rPr>
        <w:t>在评估过程中，应确保评估范围覆盖全区重点单位，实现全面监管。同时，通过规范化环境管理评估，推动所有产生一般工业固体废物的企业开展环境风险隐患排查治理，提升整体管理水平。</w:t>
      </w:r>
    </w:p>
    <w:p w14:paraId="6F52DD0F">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（四）加强信息化管理。</w:t>
      </w:r>
      <w:r>
        <w:rPr>
          <w:rFonts w:hint="eastAsia" w:ascii="方正仿宋_GBK" w:hAnsi="方正仿宋_GBK" w:eastAsia="方正仿宋_GBK" w:cs="方正仿宋_GBK"/>
          <w:b w:val="0"/>
          <w:bCs w:val="0"/>
          <w:color w:val="auto"/>
          <w:sz w:val="32"/>
          <w:szCs w:val="32"/>
          <w:highlight w:val="none"/>
          <w:lang w:val="en-US" w:eastAsia="zh-CN"/>
        </w:rPr>
        <w:t>将信息化应用作为规范化评估的主要手段，要求企业充分利用“巴渝治废管理信息系统”及其他国家或市级相关系统辅助管理一般工业固体废物管理，实现一般工业固体废物从产生到贮存、转移及利用处置的全链条信息化追踪与监管，通过信息化手段提升管理效率，确保数据的准确性与及时性。</w:t>
      </w:r>
    </w:p>
    <w:p w14:paraId="468997CB">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（五）推动问题跟踪与整改。</w:t>
      </w:r>
      <w:r>
        <w:rPr>
          <w:rFonts w:hint="eastAsia" w:ascii="方正仿宋_GBK" w:hAnsi="方正仿宋_GBK" w:eastAsia="方正仿宋_GBK" w:cs="方正仿宋_GBK"/>
          <w:b w:val="0"/>
          <w:bCs w:val="0"/>
          <w:color w:val="auto"/>
          <w:sz w:val="32"/>
          <w:szCs w:val="32"/>
          <w:highlight w:val="none"/>
          <w:lang w:val="en-US" w:eastAsia="zh-CN"/>
        </w:rPr>
        <w:t>对评估中发现的一般工业固体废物管理问题进行动态跟踪与记录，督促企业制定并实施整改措施，确保问题得到及时有效解决。同时，将评估结果与生态环境监督执法正面清单挂钩，对涉嫌环境违法的企业依法依规进行处理。</w:t>
      </w:r>
    </w:p>
    <w:p w14:paraId="2C522861">
      <w:pPr>
        <w:keepNext w:val="0"/>
        <w:keepLines w:val="0"/>
        <w:pageBreakBefore w:val="0"/>
        <w:widowControl w:val="0"/>
        <w:kinsoku/>
        <w:wordWrap/>
        <w:overflowPunct/>
        <w:topLinePunct w:val="0"/>
        <w:autoSpaceDE/>
        <w:autoSpaceDN/>
        <w:bidi w:val="0"/>
        <w:adjustRightInd/>
        <w:snapToGrid/>
        <w:spacing w:line="600" w:lineRule="atLeast"/>
        <w:ind w:firstLine="640" w:firstLineChars="200"/>
        <w:jc w:val="left"/>
        <w:textAlignment w:val="auto"/>
        <w:outlineLvl w:val="9"/>
        <w:rPr>
          <w:rFonts w:hint="eastAsia" w:ascii="方正黑体_GBK" w:hAnsi="方正黑体_GBK" w:eastAsia="方正黑体_GBK" w:cs="方正黑体_GBK"/>
          <w:b w:val="0"/>
          <w:bCs w:val="0"/>
          <w:color w:val="auto"/>
          <w:kern w:val="0"/>
          <w:sz w:val="32"/>
          <w:szCs w:val="32"/>
          <w:highlight w:val="none"/>
          <w:shd w:val="clear" w:color="auto" w:fill="FFFFFF"/>
          <w:lang w:val="en-US" w:eastAsia="zh-CN"/>
        </w:rPr>
      </w:pPr>
      <w:r>
        <w:rPr>
          <w:rFonts w:hint="eastAsia" w:ascii="方正黑体_GBK" w:hAnsi="方正黑体_GBK" w:eastAsia="方正黑体_GBK" w:cs="方正黑体_GBK"/>
          <w:b w:val="0"/>
          <w:bCs w:val="0"/>
          <w:color w:val="auto"/>
          <w:kern w:val="0"/>
          <w:sz w:val="32"/>
          <w:szCs w:val="32"/>
          <w:highlight w:val="none"/>
          <w:shd w:val="clear" w:color="auto" w:fill="FFFFFF"/>
          <w:lang w:val="en-US" w:eastAsia="zh-CN"/>
        </w:rPr>
        <w:t>四、评估内容</w:t>
      </w:r>
    </w:p>
    <w:p w14:paraId="0888C515">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重庆市巴南区</w:t>
      </w:r>
      <w:r>
        <w:rPr>
          <w:rFonts w:hint="eastAsia" w:ascii="方正仿宋_GBK" w:hAnsi="方正仿宋_GBK" w:eastAsia="方正仿宋_GBK" w:cs="方正仿宋_GBK"/>
          <w:b w:val="0"/>
          <w:bCs w:val="0"/>
          <w:color w:val="auto"/>
          <w:sz w:val="32"/>
          <w:szCs w:val="32"/>
          <w:highlight w:val="none"/>
          <w:lang w:eastAsia="zh-CN"/>
        </w:rPr>
        <w:t>一般工业固体废物规范化</w:t>
      </w:r>
      <w:r>
        <w:rPr>
          <w:rFonts w:hint="eastAsia" w:ascii="方正仿宋_GBK" w:hAnsi="方正仿宋_GBK" w:eastAsia="方正仿宋_GBK" w:cs="方正仿宋_GBK"/>
          <w:b w:val="0"/>
          <w:bCs w:val="0"/>
          <w:color w:val="auto"/>
          <w:sz w:val="32"/>
          <w:szCs w:val="32"/>
          <w:highlight w:val="none"/>
          <w:lang w:val="en-US" w:eastAsia="zh-CN"/>
        </w:rPr>
        <w:t>环境</w:t>
      </w:r>
      <w:r>
        <w:rPr>
          <w:rFonts w:hint="eastAsia" w:ascii="方正仿宋_GBK" w:hAnsi="方正仿宋_GBK" w:eastAsia="方正仿宋_GBK" w:cs="方正仿宋_GBK"/>
          <w:b w:val="0"/>
          <w:bCs w:val="0"/>
          <w:color w:val="auto"/>
          <w:sz w:val="32"/>
          <w:szCs w:val="32"/>
          <w:highlight w:val="none"/>
          <w:lang w:eastAsia="zh-CN"/>
        </w:rPr>
        <w:t>管理</w:t>
      </w:r>
      <w:r>
        <w:rPr>
          <w:rFonts w:hint="eastAsia" w:ascii="方正仿宋_GBK" w:hAnsi="方正仿宋_GBK" w:eastAsia="方正仿宋_GBK" w:cs="方正仿宋_GBK"/>
          <w:b w:val="0"/>
          <w:bCs w:val="0"/>
          <w:color w:val="auto"/>
          <w:sz w:val="32"/>
          <w:szCs w:val="32"/>
          <w:highlight w:val="none"/>
          <w:lang w:val="en-US" w:eastAsia="zh-CN"/>
        </w:rPr>
        <w:t>评估</w:t>
      </w:r>
      <w:r>
        <w:rPr>
          <w:rFonts w:hint="eastAsia" w:ascii="方正仿宋_GBK" w:hAnsi="方正仿宋_GBK" w:eastAsia="方正仿宋_GBK" w:cs="方正仿宋_GBK"/>
          <w:b w:val="0"/>
          <w:bCs w:val="0"/>
          <w:color w:val="auto"/>
          <w:sz w:val="32"/>
          <w:szCs w:val="32"/>
          <w:highlight w:val="none"/>
          <w:lang w:eastAsia="zh-CN"/>
        </w:rPr>
        <w:t>主要</w:t>
      </w:r>
      <w:r>
        <w:rPr>
          <w:rFonts w:hint="eastAsia" w:ascii="方正仿宋_GBK" w:hAnsi="方正仿宋_GBK" w:eastAsia="方正仿宋_GBK" w:cs="方正仿宋_GBK"/>
          <w:b w:val="0"/>
          <w:bCs w:val="0"/>
          <w:color w:val="auto"/>
          <w:sz w:val="32"/>
          <w:szCs w:val="32"/>
          <w:highlight w:val="none"/>
          <w:lang w:val="en-US" w:eastAsia="zh-CN"/>
        </w:rPr>
        <w:t>针对五项制度和四项管理内容，包括：</w:t>
      </w:r>
      <w:r>
        <w:rPr>
          <w:rFonts w:hint="eastAsia" w:ascii="方正仿宋_GBK" w:hAnsi="方正仿宋_GBK" w:eastAsia="方正仿宋_GBK" w:cs="方正仿宋_GBK"/>
          <w:b w:val="0"/>
          <w:bCs w:val="0"/>
          <w:color w:val="auto"/>
          <w:sz w:val="32"/>
          <w:szCs w:val="32"/>
          <w:highlight w:val="none"/>
          <w:lang w:val="en-US" w:eastAsia="en-US"/>
        </w:rPr>
        <w:t>环境影响评价制度</w:t>
      </w:r>
      <w:r>
        <w:rPr>
          <w:rFonts w:hint="eastAsia" w:ascii="方正仿宋_GBK" w:hAnsi="方正仿宋_GBK" w:eastAsia="方正仿宋_GBK" w:cs="方正仿宋_GBK"/>
          <w:b w:val="0"/>
          <w:bCs w:val="0"/>
          <w:color w:val="auto"/>
          <w:sz w:val="32"/>
          <w:szCs w:val="32"/>
          <w:highlight w:val="none"/>
          <w:lang w:val="en-US" w:eastAsia="zh-CN"/>
        </w:rPr>
        <w:t>、排污许可制度、清洁生产制度、管理台账制度、信息公开制度、贮存管理、利用处置管理、</w:t>
      </w:r>
      <w:r>
        <w:rPr>
          <w:rFonts w:hint="eastAsia" w:ascii="方正仿宋_GBK" w:hAnsi="方正仿宋_GBK" w:eastAsia="方正仿宋_GBK" w:cs="方正仿宋_GBK"/>
          <w:b w:val="0"/>
          <w:bCs w:val="0"/>
          <w:color w:val="auto"/>
          <w:sz w:val="32"/>
          <w:szCs w:val="32"/>
          <w:highlight w:val="none"/>
          <w:lang w:val="en-US" w:eastAsia="en-US"/>
        </w:rPr>
        <w:t>转移管理</w:t>
      </w:r>
      <w:r>
        <w:rPr>
          <w:rFonts w:hint="eastAsia" w:ascii="方正仿宋_GBK" w:hAnsi="方正仿宋_GBK" w:eastAsia="方正仿宋_GBK" w:cs="方正仿宋_GBK"/>
          <w:b w:val="0"/>
          <w:bCs w:val="0"/>
          <w:color w:val="auto"/>
          <w:sz w:val="32"/>
          <w:szCs w:val="32"/>
          <w:highlight w:val="none"/>
          <w:lang w:val="en-US" w:eastAsia="zh-CN"/>
        </w:rPr>
        <w:t>和产生单位内部管理。</w:t>
      </w:r>
    </w:p>
    <w:p w14:paraId="567AC2D2">
      <w:pPr>
        <w:keepNext w:val="0"/>
        <w:keepLines w:val="0"/>
        <w:pageBreakBefore w:val="0"/>
        <w:widowControl w:val="0"/>
        <w:kinsoku/>
        <w:wordWrap/>
        <w:overflowPunct/>
        <w:topLinePunct w:val="0"/>
        <w:autoSpaceDE/>
        <w:autoSpaceDN/>
        <w:bidi w:val="0"/>
        <w:adjustRightInd/>
        <w:snapToGrid/>
        <w:spacing w:line="600" w:lineRule="atLeast"/>
        <w:ind w:firstLine="640" w:firstLineChars="200"/>
        <w:jc w:val="left"/>
        <w:textAlignment w:val="auto"/>
        <w:outlineLvl w:val="9"/>
        <w:rPr>
          <w:rFonts w:hint="eastAsia" w:ascii="方正黑体_GBK" w:hAnsi="方正黑体_GBK" w:eastAsia="方正黑体_GBK" w:cs="方正黑体_GBK"/>
          <w:b w:val="0"/>
          <w:bCs w:val="0"/>
          <w:color w:val="auto"/>
          <w:kern w:val="0"/>
          <w:sz w:val="32"/>
          <w:szCs w:val="32"/>
          <w:highlight w:val="none"/>
          <w:shd w:val="clear" w:color="auto" w:fill="FFFFFF"/>
          <w:lang w:val="en-US" w:eastAsia="zh-CN"/>
        </w:rPr>
      </w:pPr>
      <w:r>
        <w:rPr>
          <w:rFonts w:hint="eastAsia" w:ascii="方正黑体_GBK" w:hAnsi="方正黑体_GBK" w:eastAsia="方正黑体_GBK" w:cs="方正黑体_GBK"/>
          <w:b w:val="0"/>
          <w:bCs w:val="0"/>
          <w:color w:val="auto"/>
          <w:kern w:val="0"/>
          <w:sz w:val="32"/>
          <w:szCs w:val="32"/>
          <w:highlight w:val="none"/>
          <w:shd w:val="clear" w:color="auto" w:fill="FFFFFF"/>
          <w:lang w:val="en-US" w:eastAsia="zh-CN"/>
        </w:rPr>
        <w:t>五、评估标准</w:t>
      </w:r>
    </w:p>
    <w:p w14:paraId="357004A1">
      <w:pPr>
        <w:spacing w:line="600" w:lineRule="atLeast"/>
        <w:ind w:firstLine="640" w:firstLineChars="200"/>
        <w:jc w:val="both"/>
        <w:rPr>
          <w:rFonts w:hint="eastAsia" w:ascii="方正黑体_GBK" w:hAnsi="方正黑体_GBK" w:eastAsia="方正黑体_GBK" w:cs="方正黑体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kern w:val="0"/>
          <w:sz w:val="32"/>
          <w:szCs w:val="32"/>
          <w:highlight w:val="none"/>
          <w:lang w:val="en-US" w:eastAsia="zh-CN" w:bidi="ar"/>
        </w:rPr>
        <w:t>评估结果分为达标、基本达标和不达标三个等级，依据是否具有一般工业固体废物自行利用或处置设施（含尾矿库），分为两种情形。一是</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
          <w14:ligatures w14:val="standardContextual"/>
        </w:rPr>
        <w:t>无自行利用或处置设施的产生单位满分为40分，32（含）</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
          <w14:ligatures w14:val="standardContextual"/>
        </w:rPr>
        <w:sym w:font="Symbol" w:char="002D"/>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
          <w14:ligatures w14:val="standardContextual"/>
        </w:rPr>
        <w:t>40分为达标，24（含）</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
          <w14:ligatures w14:val="standardContextual"/>
        </w:rPr>
        <w:sym w:font="Symbol" w:char="002D"/>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
          <w14:ligatures w14:val="standardContextual"/>
        </w:rPr>
        <w:t>32分为基本达标，24分以下为不达标。二是有自行利用或处置设施的产生单位满分为60分，48（含）</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
          <w14:ligatures w14:val="standardContextual"/>
        </w:rPr>
        <w:sym w:font="Symbol" w:char="002D"/>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
          <w14:ligatures w14:val="standardContextual"/>
        </w:rPr>
        <w:t>60分为达标，36（含）</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
          <w14:ligatures w14:val="standardContextual"/>
        </w:rPr>
        <w:sym w:font="Symbol" w:char="002D"/>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
          <w14:ligatures w14:val="standardContextual"/>
        </w:rPr>
        <w:t>48分为基本达标，36分以下为不达标</w:t>
      </w:r>
      <w:r>
        <w:rPr>
          <w:rFonts w:hint="eastAsia" w:ascii="方正黑体_GBK" w:hAnsi="方正黑体_GBK" w:eastAsia="方正黑体_GBK" w:cs="方正黑体_GBK"/>
          <w:b w:val="0"/>
          <w:bCs w:val="0"/>
          <w:color w:val="auto"/>
          <w:sz w:val="32"/>
          <w:szCs w:val="32"/>
          <w:highlight w:val="none"/>
          <w:lang w:val="en-US" w:eastAsia="zh-CN"/>
        </w:rPr>
        <w:t>。</w:t>
      </w:r>
    </w:p>
    <w:p w14:paraId="7EEE75C2">
      <w:pPr>
        <w:keepNext w:val="0"/>
        <w:keepLines w:val="0"/>
        <w:pageBreakBefore w:val="0"/>
        <w:widowControl w:val="0"/>
        <w:kinsoku/>
        <w:wordWrap/>
        <w:overflowPunct/>
        <w:topLinePunct w:val="0"/>
        <w:autoSpaceDE/>
        <w:autoSpaceDN/>
        <w:bidi w:val="0"/>
        <w:adjustRightInd/>
        <w:snapToGrid/>
        <w:spacing w:line="600" w:lineRule="atLeast"/>
        <w:ind w:firstLine="640" w:firstLineChars="200"/>
        <w:jc w:val="left"/>
        <w:textAlignment w:val="auto"/>
        <w:outlineLvl w:val="9"/>
        <w:rPr>
          <w:rFonts w:hint="eastAsia" w:ascii="方正黑体_GBK" w:hAnsi="方正黑体_GBK" w:eastAsia="方正黑体_GBK" w:cs="方正黑体_GBK"/>
          <w:b w:val="0"/>
          <w:bCs w:val="0"/>
          <w:color w:val="auto"/>
          <w:kern w:val="0"/>
          <w:sz w:val="32"/>
          <w:szCs w:val="32"/>
          <w:highlight w:val="none"/>
          <w:shd w:val="clear" w:color="auto" w:fill="FFFFFF"/>
          <w:lang w:val="en-US" w:eastAsia="zh-CN"/>
        </w:rPr>
      </w:pPr>
      <w:r>
        <w:rPr>
          <w:rFonts w:hint="eastAsia" w:ascii="方正黑体_GBK" w:hAnsi="方正黑体_GBK" w:eastAsia="方正黑体_GBK" w:cs="方正黑体_GBK"/>
          <w:b w:val="0"/>
          <w:bCs w:val="0"/>
          <w:color w:val="auto"/>
          <w:kern w:val="0"/>
          <w:sz w:val="32"/>
          <w:szCs w:val="32"/>
          <w:highlight w:val="none"/>
          <w:shd w:val="clear" w:color="auto" w:fill="FFFFFF"/>
          <w:lang w:val="en-US" w:eastAsia="zh-CN"/>
        </w:rPr>
        <w:t>六、评估程序</w:t>
      </w:r>
    </w:p>
    <w:p w14:paraId="7B1E4F07">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巴南区一般工业固体废物规范化环境管理评估由本级管理部门统筹开展，每年度开展一次。</w:t>
      </w:r>
    </w:p>
    <w:p w14:paraId="2173E1C3">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（1）企业自评。</w:t>
      </w:r>
      <w:r>
        <w:rPr>
          <w:rFonts w:hint="eastAsia" w:ascii="方正仿宋_GBK" w:hAnsi="方正仿宋_GBK" w:eastAsia="方正仿宋_GBK" w:cs="方正仿宋_GBK"/>
          <w:b w:val="0"/>
          <w:bCs w:val="0"/>
          <w:color w:val="auto"/>
          <w:sz w:val="32"/>
          <w:szCs w:val="32"/>
          <w:highlight w:val="none"/>
          <w:lang w:val="en-US" w:eastAsia="zh-CN"/>
        </w:rPr>
        <w:t>各相关企业根据管理部门的安排，对照《巴南区一般工业固体废物规范化环境管理评估表》的内容及评分细则，参考评估材料要求，结合实际情况进行自查并逐项报送相关评估材料。</w:t>
      </w:r>
    </w:p>
    <w:p w14:paraId="5B795BBE">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（2）管理部门评估。</w:t>
      </w:r>
      <w:r>
        <w:rPr>
          <w:rFonts w:hint="eastAsia" w:ascii="方正仿宋_GBK" w:hAnsi="方正仿宋_GBK" w:eastAsia="方正仿宋_GBK" w:cs="方正仿宋_GBK"/>
          <w:b w:val="0"/>
          <w:bCs w:val="0"/>
          <w:color w:val="auto"/>
          <w:sz w:val="32"/>
          <w:szCs w:val="32"/>
          <w:highlight w:val="none"/>
          <w:lang w:val="en-US" w:eastAsia="zh-CN"/>
        </w:rPr>
        <w:t>由管理部门组织评估小组，或委托第三方开展一般工业固体废物规范化管理的资料审查、现场核查，以及综合评估。综合评估包含以下程序：</w:t>
      </w:r>
    </w:p>
    <w:p w14:paraId="7598180E">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1）资料审查：评估小组首先对企业提交的一般工业固体废物管理相关资料进行审查，初步了解企业管理情况。</w:t>
      </w:r>
    </w:p>
    <w:p w14:paraId="37987005">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2）现场核查：评估小组深入企业现场，对贮存设施、运输过程、利用与处置设施等进行实地核查，核实资料的真实性。</w:t>
      </w:r>
    </w:p>
    <w:p w14:paraId="4D1214B6">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3）综合评分：评估小组根据资料审查情况和现场核查结果，按照评分标准进行综合评分。</w:t>
      </w:r>
    </w:p>
    <w:p w14:paraId="766B31DB">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4）结果反馈：评估小组将评分结果及存在的问题和改进建议反馈给企业，并督促企业及时整改。</w:t>
      </w:r>
    </w:p>
    <w:p w14:paraId="7371676D">
      <w:pPr>
        <w:spacing w:line="600" w:lineRule="atLeas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（3）评估注意事项：</w:t>
      </w:r>
    </w:p>
    <w:p w14:paraId="5A2B5C14">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1）评估过程中，评估小组应坚持公正、公平、公开的原则，确保评估结果的准确性和有效性。</w:t>
      </w:r>
    </w:p>
    <w:p w14:paraId="7A33AC04">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2）企业应积极配合评估工作，提供真实、完整的资料，确保评估工作顺利进行。</w:t>
      </w:r>
    </w:p>
    <w:p w14:paraId="55A1B755">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3）评估结果将作为企业一般工业固体废物管理规范化水平的重要依据，并作为后续监管和奖惩的依据。</w:t>
      </w:r>
    </w:p>
    <w:p w14:paraId="071536CF">
      <w:pPr>
        <w:spacing w:line="600" w:lineRule="atLeast"/>
        <w:jc w:val="both"/>
        <w:rPr>
          <w:rFonts w:hint="eastAsia" w:ascii="方正仿宋_GBK" w:hAnsi="方正仿宋_GBK" w:eastAsia="方正仿宋_GBK" w:cs="方正仿宋_GBK"/>
          <w:b w:val="0"/>
          <w:bCs w:val="0"/>
          <w:color w:val="auto"/>
          <w:sz w:val="32"/>
          <w:szCs w:val="32"/>
          <w:highlight w:val="none"/>
          <w:lang w:val="en-US" w:eastAsia="zh-CN"/>
        </w:rPr>
      </w:pPr>
    </w:p>
    <w:p w14:paraId="12F98008">
      <w:pPr>
        <w:keepNext w:val="0"/>
        <w:keepLines w:val="0"/>
        <w:pageBreakBefore w:val="0"/>
        <w:wordWrap/>
        <w:overflowPunct/>
        <w:topLinePunct w:val="0"/>
        <w:bidi w:val="0"/>
        <w:spacing w:line="600" w:lineRule="atLeast"/>
        <w:ind w:firstLine="640" w:firstLineChars="200"/>
        <w:jc w:val="both"/>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附</w:t>
      </w:r>
      <w:r>
        <w:rPr>
          <w:rFonts w:hint="eastAsia" w:ascii="方正仿宋_GBK" w:hAnsi="方正仿宋_GBK" w:eastAsia="方正仿宋_GBK" w:cs="方正仿宋_GBK"/>
          <w:b w:val="0"/>
          <w:bCs w:val="0"/>
          <w:snapToGrid/>
          <w:color w:val="auto"/>
          <w:spacing w:val="0"/>
          <w:kern w:val="0"/>
          <w:sz w:val="32"/>
          <w:szCs w:val="32"/>
          <w:highlight w:val="none"/>
          <w:lang w:val="en-US" w:eastAsia="zh-CN"/>
          <w14:ligatures w14:val="standardContextual"/>
        </w:rPr>
        <w:t>件：1 .</w:t>
      </w:r>
      <w:r>
        <w:rPr>
          <w:rFonts w:hint="eastAsia" w:ascii="方正仿宋_GBK" w:hAnsi="方正仿宋_GBK" w:eastAsia="方正仿宋_GBK" w:cs="方正仿宋_GBK"/>
          <w:b w:val="0"/>
          <w:bCs w:val="0"/>
          <w:color w:val="auto"/>
          <w:sz w:val="32"/>
          <w:szCs w:val="32"/>
          <w:highlight w:val="none"/>
          <w:lang w:val="en-US" w:eastAsia="zh-CN"/>
        </w:rPr>
        <w:t>巴南区</w:t>
      </w:r>
      <w:r>
        <w:rPr>
          <w:rFonts w:hint="eastAsia" w:ascii="方正仿宋_GBK" w:hAnsi="方正仿宋_GBK" w:eastAsia="方正仿宋_GBK" w:cs="方正仿宋_GBK"/>
          <w:b w:val="0"/>
          <w:bCs w:val="0"/>
          <w:color w:val="auto"/>
          <w:sz w:val="32"/>
          <w:szCs w:val="32"/>
          <w:highlight w:val="none"/>
          <w:lang w:val="en-US" w:eastAsia="en-US"/>
        </w:rPr>
        <w:t>一般工</w:t>
      </w:r>
      <w:r>
        <w:rPr>
          <w:rFonts w:hint="eastAsia" w:ascii="方正仿宋_GBK" w:hAnsi="方正仿宋_GBK" w:eastAsia="方正仿宋_GBK" w:cs="方正仿宋_GBK"/>
          <w:b w:val="0"/>
          <w:bCs w:val="0"/>
          <w:color w:val="auto"/>
          <w:sz w:val="32"/>
          <w:szCs w:val="32"/>
          <w:highlight w:val="none"/>
          <w:lang w:val="en-US" w:eastAsia="zh-CN"/>
        </w:rPr>
        <w:t>业固体废物规范化环境管理评估表</w:t>
      </w:r>
    </w:p>
    <w:p w14:paraId="403D7098">
      <w:pPr>
        <w:keepNext w:val="0"/>
        <w:keepLines w:val="0"/>
        <w:pageBreakBefore w:val="0"/>
        <w:wordWrap/>
        <w:overflowPunct/>
        <w:topLinePunct w:val="0"/>
        <w:bidi w:val="0"/>
        <w:spacing w:line="600" w:lineRule="atLeast"/>
        <w:ind w:firstLine="1600" w:firstLineChars="500"/>
        <w:jc w:val="both"/>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14:ligatures w14:val="standardContextual"/>
        </w:rPr>
        <w:t>2 .</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
          <w14:ligatures w14:val="standardContextual"/>
        </w:rPr>
        <w:t>被评估单位情况记录表</w:t>
      </w:r>
    </w:p>
    <w:p w14:paraId="37941121">
      <w:pPr>
        <w:keepNext w:val="0"/>
        <w:keepLines w:val="0"/>
        <w:pageBreakBefore w:val="0"/>
        <w:wordWrap/>
        <w:overflowPunct/>
        <w:topLinePunct w:val="0"/>
        <w:bidi w:val="0"/>
        <w:spacing w:line="600" w:lineRule="atLeast"/>
        <w:ind w:firstLine="1600" w:firstLineChars="500"/>
        <w:jc w:val="both"/>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3 .一般工业固体废物规范化环境管理操作指南</w:t>
      </w:r>
    </w:p>
    <w:p w14:paraId="1CDA23B7">
      <w:pPr>
        <w:keepNext w:val="0"/>
        <w:keepLines w:val="0"/>
        <w:pageBreakBefore w:val="0"/>
        <w:wordWrap/>
        <w:overflowPunct/>
        <w:topLinePunct w:val="0"/>
        <w:bidi w:val="0"/>
        <w:spacing w:line="600" w:lineRule="atLeast"/>
        <w:ind w:left="1916" w:leftChars="760" w:hanging="320" w:hangingChars="100"/>
        <w:jc w:val="both"/>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4 .一般工业固体废物台账管理要求及台账记录表（模板）</w:t>
      </w:r>
    </w:p>
    <w:p w14:paraId="0DE1AA47">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1600" w:firstLineChars="500"/>
        <w:textAlignment w:val="auto"/>
        <w:outlineLvl w:val="9"/>
        <w:rPr>
          <w:rFonts w:hint="eastAsia" w:ascii="方正仿宋_GBK" w:hAnsi="方正仿宋_GBK" w:eastAsia="方正仿宋_GBK" w:cs="方正仿宋_GBK"/>
          <w:kern w:val="0"/>
          <w:sz w:val="32"/>
          <w:szCs w:val="32"/>
          <w:shd w:val="clear" w:color="auto" w:fill="FFFFFF"/>
          <w:lang w:val="en-US" w:eastAsia="zh-CN" w:bidi="ar-SA"/>
        </w:rPr>
      </w:pPr>
      <w:r>
        <w:rPr>
          <w:rFonts w:hint="eastAsia" w:ascii="方正仿宋_GBK" w:hAnsi="方正仿宋_GBK" w:eastAsia="方正仿宋_GBK" w:cs="方正仿宋_GBK"/>
          <w:b w:val="0"/>
          <w:bCs w:val="0"/>
          <w:color w:val="auto"/>
          <w:sz w:val="32"/>
          <w:szCs w:val="32"/>
          <w:highlight w:val="none"/>
          <w:lang w:val="en-US" w:eastAsia="zh-CN"/>
        </w:rPr>
        <w:t>5 .</w:t>
      </w:r>
      <w:r>
        <w:rPr>
          <w:rFonts w:hint="eastAsia" w:ascii="方正仿宋_GBK" w:hAnsi="方正仿宋_GBK" w:eastAsia="方正仿宋_GBK" w:cs="方正仿宋_GBK"/>
          <w:b w:val="0"/>
          <w:bCs w:val="0"/>
          <w:color w:val="auto"/>
          <w:sz w:val="32"/>
          <w:szCs w:val="32"/>
          <w:highlight w:val="none"/>
          <w:lang w:val="en-US" w:eastAsia="en-US"/>
        </w:rPr>
        <w:t>一般工业固体废物转移处置委托合同</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模板</w:t>
      </w:r>
      <w:r>
        <w:rPr>
          <w:rFonts w:hint="eastAsia" w:ascii="方正仿宋_GBK" w:hAnsi="方正仿宋_GBK" w:eastAsia="方正仿宋_GBK" w:cs="方正仿宋_GBK"/>
          <w:b w:val="0"/>
          <w:bCs w:val="0"/>
          <w:color w:val="auto"/>
          <w:sz w:val="32"/>
          <w:szCs w:val="32"/>
          <w:highlight w:val="none"/>
          <w:lang w:val="en-US" w:eastAsia="zh-CN"/>
        </w:rPr>
        <w:t>）</w:t>
      </w:r>
    </w:p>
    <w:p w14:paraId="13742626">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textAlignment w:val="auto"/>
        <w:outlineLvl w:val="9"/>
        <w:rPr>
          <w:rFonts w:hint="eastAsia" w:ascii="方正仿宋_GBK" w:hAnsi="方正仿宋_GBK" w:eastAsia="方正仿宋_GBK" w:cs="方正仿宋_GBK"/>
          <w:kern w:val="0"/>
          <w:sz w:val="32"/>
          <w:szCs w:val="32"/>
          <w:shd w:val="clear" w:color="auto" w:fill="FFFFFF"/>
          <w:lang w:val="en-US" w:eastAsia="zh-CN" w:bidi="ar-SA"/>
        </w:rPr>
      </w:pPr>
    </w:p>
    <w:p w14:paraId="04A90754">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jc w:val="left"/>
        <w:textAlignment w:val="auto"/>
        <w:rPr>
          <w:rFonts w:hint="eastAsia" w:ascii="方正仿宋_GBK" w:hAnsi="方正仿宋_GBK" w:eastAsia="方正仿宋_GBK" w:cs="方正仿宋_GBK"/>
          <w:kern w:val="0"/>
          <w:sz w:val="32"/>
          <w:szCs w:val="32"/>
          <w:shd w:val="clear" w:color="auto" w:fill="FFFFFF"/>
          <w:lang w:val="en-US" w:eastAsia="zh-CN" w:bidi="ar-SA"/>
        </w:rPr>
      </w:pPr>
    </w:p>
    <w:p w14:paraId="11520C6F">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jc w:val="left"/>
        <w:textAlignment w:val="auto"/>
        <w:rPr>
          <w:rFonts w:hint="eastAsia" w:ascii="方正仿宋_GBK" w:hAnsi="方正仿宋_GBK" w:eastAsia="方正仿宋_GBK" w:cs="方正仿宋_GBK"/>
          <w:kern w:val="0"/>
          <w:sz w:val="32"/>
          <w:szCs w:val="32"/>
          <w:shd w:val="clear" w:color="auto" w:fill="FFFFFF"/>
          <w:lang w:val="en-US" w:eastAsia="zh-CN" w:bidi="ar-SA"/>
        </w:rPr>
        <w:sectPr>
          <w:headerReference r:id="rId4" w:type="default"/>
          <w:footerReference r:id="rId5" w:type="default"/>
          <w:pgSz w:w="11906" w:h="16838"/>
          <w:pgMar w:top="1962" w:right="1474" w:bottom="1848" w:left="1587" w:header="851" w:footer="992" w:gutter="0"/>
          <w:pgNumType w:fmt="numberInDash" w:start="1"/>
          <w:cols w:space="0" w:num="1"/>
          <w:rtlGutter w:val="0"/>
          <w:docGrid w:type="lines" w:linePitch="316" w:charSpace="0"/>
        </w:sectPr>
      </w:pPr>
    </w:p>
    <w:p w14:paraId="0E9124F2">
      <w:pPr>
        <w:keepNext w:val="0"/>
        <w:keepLines w:val="0"/>
        <w:pageBreakBefore w:val="0"/>
        <w:widowControl/>
        <w:kinsoku w:val="0"/>
        <w:wordWrap/>
        <w:overflowPunct/>
        <w:topLinePunct w:val="0"/>
        <w:autoSpaceDE/>
        <w:autoSpaceDN/>
        <w:bidi w:val="0"/>
        <w:adjustRightInd w:val="0"/>
        <w:snapToGrid w:val="0"/>
        <w:spacing w:before="157" w:beforeLines="50" w:after="313" w:afterLines="100" w:line="600" w:lineRule="atLeast"/>
        <w:ind w:left="0"/>
        <w:jc w:val="left"/>
        <w:textAlignment w:val="baseline"/>
        <w:rPr>
          <w:rFonts w:hint="eastAsia" w:ascii="方正黑体_GBK" w:hAnsi="方正黑体_GBK" w:eastAsia="方正黑体_GBK" w:cs="方正黑体_GBK"/>
          <w:b w:val="0"/>
          <w:bCs w:val="0"/>
          <w:snapToGrid w:val="0"/>
          <w:color w:val="auto"/>
          <w:spacing w:val="-3"/>
          <w:kern w:val="0"/>
          <w:sz w:val="32"/>
          <w:szCs w:val="32"/>
          <w:highlight w:val="none"/>
          <w:lang w:eastAsia="zh-CN"/>
          <w14:ligatures w14:val="none"/>
        </w:rPr>
      </w:pPr>
      <w:r>
        <w:rPr>
          <w:rFonts w:hint="eastAsia" w:ascii="方正黑体_GBK" w:hAnsi="方正黑体_GBK" w:eastAsia="方正黑体_GBK" w:cs="方正黑体_GBK"/>
          <w:b w:val="0"/>
          <w:bCs w:val="0"/>
          <w:snapToGrid w:val="0"/>
          <w:color w:val="auto"/>
          <w:spacing w:val="-3"/>
          <w:kern w:val="0"/>
          <w:sz w:val="32"/>
          <w:szCs w:val="32"/>
          <w:highlight w:val="none"/>
          <w:lang w:eastAsia="en-US"/>
          <w14:ligatures w14:val="none"/>
        </w:rPr>
        <w:t>附</w:t>
      </w:r>
      <w:r>
        <w:rPr>
          <w:rFonts w:hint="eastAsia" w:ascii="方正黑体_GBK" w:hAnsi="方正黑体_GBK" w:eastAsia="方正黑体_GBK" w:cs="方正黑体_GBK"/>
          <w:b w:val="0"/>
          <w:bCs w:val="0"/>
          <w:snapToGrid w:val="0"/>
          <w:color w:val="auto"/>
          <w:spacing w:val="-3"/>
          <w:kern w:val="0"/>
          <w:sz w:val="32"/>
          <w:szCs w:val="32"/>
          <w:highlight w:val="none"/>
          <w:lang w:val="en-US" w:eastAsia="zh-CN"/>
          <w14:ligatures w14:val="none"/>
        </w:rPr>
        <w:t>件1</w:t>
      </w:r>
    </w:p>
    <w:p w14:paraId="5C93E080">
      <w:pPr>
        <w:widowControl/>
        <w:kinsoku w:val="0"/>
        <w:autoSpaceDE/>
        <w:autoSpaceDN/>
        <w:adjustRightInd w:val="0"/>
        <w:snapToGrid w:val="0"/>
        <w:spacing w:before="317" w:beforeLines="100" w:after="317" w:afterLines="100" w:line="600" w:lineRule="atLeast"/>
        <w:jc w:val="center"/>
        <w:textAlignment w:val="baseline"/>
        <w:rPr>
          <w:rFonts w:hint="eastAsia" w:ascii="方正小标宋_GBK" w:hAnsi="方正小标宋_GBK" w:eastAsia="方正小标宋_GBK" w:cs="方正小标宋_GBK"/>
          <w:snapToGrid w:val="0"/>
          <w:color w:val="auto"/>
          <w:spacing w:val="7"/>
          <w:kern w:val="0"/>
          <w:sz w:val="32"/>
          <w:szCs w:val="32"/>
          <w:highlight w:val="none"/>
          <w:lang w:val="en-US" w:eastAsia="en-US" w:bidi="ar"/>
          <w14:ligatures w14:val="none"/>
        </w:rPr>
      </w:pPr>
      <w:r>
        <w:rPr>
          <w:rFonts w:hint="eastAsia" w:ascii="方正小标宋_GBK" w:hAnsi="方正小标宋_GBK" w:eastAsia="方正小标宋_GBK" w:cs="方正小标宋_GBK"/>
          <w:snapToGrid w:val="0"/>
          <w:color w:val="auto"/>
          <w:spacing w:val="7"/>
          <w:kern w:val="0"/>
          <w:sz w:val="32"/>
          <w:szCs w:val="32"/>
          <w:highlight w:val="none"/>
          <w:lang w:val="en-US" w:eastAsia="en-US" w:bidi="ar"/>
          <w14:ligatures w14:val="none"/>
        </w:rPr>
        <w:t>巴南区</w:t>
      </w:r>
      <w:r>
        <w:rPr>
          <w:rFonts w:hint="eastAsia" w:ascii="方正小标宋_GBK" w:hAnsi="方正小标宋_GBK" w:eastAsia="方正小标宋_GBK" w:cs="方正小标宋_GBK"/>
          <w:snapToGrid w:val="0"/>
          <w:color w:val="auto"/>
          <w:spacing w:val="7"/>
          <w:kern w:val="0"/>
          <w:sz w:val="32"/>
          <w:szCs w:val="32"/>
          <w:highlight w:val="none"/>
          <w:lang w:eastAsia="en-US" w:bidi="ar"/>
          <w14:ligatures w14:val="none"/>
        </w:rPr>
        <w:t>一般工业固体废物</w:t>
      </w:r>
      <w:r>
        <w:rPr>
          <w:rFonts w:hint="eastAsia" w:ascii="方正小标宋_GBK" w:hAnsi="方正小标宋_GBK" w:eastAsia="方正小标宋_GBK" w:cs="方正小标宋_GBK"/>
          <w:snapToGrid w:val="0"/>
          <w:color w:val="auto"/>
          <w:spacing w:val="7"/>
          <w:kern w:val="0"/>
          <w:sz w:val="32"/>
          <w:szCs w:val="32"/>
          <w:highlight w:val="none"/>
          <w:lang w:val="en-US" w:eastAsia="zh-CN" w:bidi="ar"/>
          <w14:ligatures w14:val="none"/>
        </w:rPr>
        <w:t>产生单位</w:t>
      </w:r>
      <w:r>
        <w:rPr>
          <w:rFonts w:hint="eastAsia" w:ascii="方正小标宋_GBK" w:hAnsi="方正小标宋_GBK" w:eastAsia="方正小标宋_GBK" w:cs="方正小标宋_GBK"/>
          <w:snapToGrid w:val="0"/>
          <w:color w:val="auto"/>
          <w:spacing w:val="7"/>
          <w:kern w:val="0"/>
          <w:sz w:val="32"/>
          <w:szCs w:val="32"/>
          <w:highlight w:val="none"/>
          <w:lang w:eastAsia="en-US" w:bidi="ar"/>
          <w14:ligatures w14:val="none"/>
        </w:rPr>
        <w:t>规范化环境管理</w:t>
      </w:r>
      <w:r>
        <w:rPr>
          <w:rFonts w:hint="eastAsia" w:ascii="方正小标宋_GBK" w:hAnsi="方正小标宋_GBK" w:eastAsia="方正小标宋_GBK" w:cs="方正小标宋_GBK"/>
          <w:snapToGrid w:val="0"/>
          <w:color w:val="auto"/>
          <w:spacing w:val="7"/>
          <w:kern w:val="0"/>
          <w:sz w:val="32"/>
          <w:szCs w:val="32"/>
          <w:highlight w:val="none"/>
          <w:lang w:val="en-US" w:eastAsia="en-US" w:bidi="ar"/>
          <w14:ligatures w14:val="none"/>
        </w:rPr>
        <w:t>评估表</w:t>
      </w:r>
    </w:p>
    <w:tbl>
      <w:tblPr>
        <w:tblStyle w:val="9"/>
        <w:tblW w:w="141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0"/>
        <w:gridCol w:w="1058"/>
        <w:gridCol w:w="675"/>
        <w:gridCol w:w="684"/>
        <w:gridCol w:w="1038"/>
        <w:gridCol w:w="78"/>
        <w:gridCol w:w="7200"/>
        <w:gridCol w:w="1059"/>
        <w:gridCol w:w="680"/>
      </w:tblGrid>
      <w:tr w14:paraId="7F2AC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630" w:type="dxa"/>
            <w:vMerge w:val="restart"/>
            <w:vAlign w:val="center"/>
          </w:tcPr>
          <w:p w14:paraId="4F39CC74">
            <w:pPr>
              <w:widowControl/>
              <w:kinsoku/>
              <w:autoSpaceDE w:val="0"/>
              <w:autoSpaceDN w:val="0"/>
              <w:adjustRightInd w:val="0"/>
              <w:snapToGrid w:val="0"/>
              <w:spacing w:before="73" w:line="240" w:lineRule="auto"/>
              <w:jc w:val="center"/>
              <w:textAlignment w:val="baseline"/>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pPr>
            <w:r>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t>管理制度</w:t>
            </w:r>
          </w:p>
        </w:tc>
        <w:tc>
          <w:tcPr>
            <w:tcW w:w="1058" w:type="dxa"/>
            <w:vMerge w:val="restart"/>
            <w:vAlign w:val="center"/>
          </w:tcPr>
          <w:p w14:paraId="760D039E">
            <w:pPr>
              <w:widowControl/>
              <w:kinsoku/>
              <w:autoSpaceDE w:val="0"/>
              <w:autoSpaceDN w:val="0"/>
              <w:adjustRightInd w:val="0"/>
              <w:snapToGrid w:val="0"/>
              <w:spacing w:before="73" w:line="240" w:lineRule="auto"/>
              <w:jc w:val="center"/>
              <w:textAlignment w:val="baseline"/>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pPr>
            <w:r>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t>评估内容</w:t>
            </w:r>
          </w:p>
        </w:tc>
        <w:tc>
          <w:tcPr>
            <w:tcW w:w="1359" w:type="dxa"/>
            <w:gridSpan w:val="2"/>
            <w:vAlign w:val="center"/>
          </w:tcPr>
          <w:p w14:paraId="0943EAA9">
            <w:pPr>
              <w:widowControl/>
              <w:kinsoku/>
              <w:autoSpaceDE w:val="0"/>
              <w:autoSpaceDN w:val="0"/>
              <w:adjustRightInd w:val="0"/>
              <w:snapToGrid w:val="0"/>
              <w:spacing w:before="73" w:line="240" w:lineRule="auto"/>
              <w:jc w:val="center"/>
              <w:textAlignment w:val="baseline"/>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pPr>
            <w:r>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t>分数</w:t>
            </w:r>
          </w:p>
        </w:tc>
        <w:tc>
          <w:tcPr>
            <w:tcW w:w="1116" w:type="dxa"/>
            <w:gridSpan w:val="2"/>
            <w:vMerge w:val="restart"/>
            <w:vAlign w:val="center"/>
          </w:tcPr>
          <w:p w14:paraId="22CBE164">
            <w:pPr>
              <w:widowControl/>
              <w:kinsoku/>
              <w:autoSpaceDE w:val="0"/>
              <w:autoSpaceDN w:val="0"/>
              <w:adjustRightInd w:val="0"/>
              <w:snapToGrid w:val="0"/>
              <w:spacing w:before="73" w:line="240" w:lineRule="auto"/>
              <w:jc w:val="center"/>
              <w:textAlignment w:val="baseline"/>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pPr>
            <w:r>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t>评估标准</w:t>
            </w:r>
          </w:p>
        </w:tc>
        <w:tc>
          <w:tcPr>
            <w:tcW w:w="7200" w:type="dxa"/>
            <w:vMerge w:val="restart"/>
            <w:vAlign w:val="center"/>
          </w:tcPr>
          <w:p w14:paraId="53640FB0">
            <w:pPr>
              <w:widowControl/>
              <w:kinsoku/>
              <w:autoSpaceDE w:val="0"/>
              <w:autoSpaceDN w:val="0"/>
              <w:adjustRightInd w:val="0"/>
              <w:snapToGrid w:val="0"/>
              <w:spacing w:before="73" w:line="240" w:lineRule="auto"/>
              <w:jc w:val="center"/>
              <w:textAlignment w:val="baseline"/>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pPr>
            <w:r>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t>评分细则</w:t>
            </w:r>
          </w:p>
        </w:tc>
        <w:tc>
          <w:tcPr>
            <w:tcW w:w="1059" w:type="dxa"/>
            <w:vMerge w:val="restart"/>
            <w:vAlign w:val="center"/>
          </w:tcPr>
          <w:p w14:paraId="012C8504">
            <w:pPr>
              <w:widowControl/>
              <w:kinsoku/>
              <w:autoSpaceDE w:val="0"/>
              <w:autoSpaceDN w:val="0"/>
              <w:adjustRightInd w:val="0"/>
              <w:snapToGrid w:val="0"/>
              <w:spacing w:before="73" w:line="240" w:lineRule="auto"/>
              <w:jc w:val="center"/>
              <w:textAlignment w:val="baseline"/>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pPr>
            <w:r>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t>检查方法</w:t>
            </w:r>
          </w:p>
        </w:tc>
        <w:tc>
          <w:tcPr>
            <w:tcW w:w="680" w:type="dxa"/>
            <w:vMerge w:val="restart"/>
            <w:vAlign w:val="center"/>
          </w:tcPr>
          <w:p w14:paraId="58B515A3">
            <w:pPr>
              <w:widowControl/>
              <w:kinsoku/>
              <w:autoSpaceDE w:val="0"/>
              <w:autoSpaceDN w:val="0"/>
              <w:adjustRightInd w:val="0"/>
              <w:snapToGrid w:val="0"/>
              <w:spacing w:before="73" w:line="240" w:lineRule="auto"/>
              <w:jc w:val="center"/>
              <w:textAlignment w:val="baseline"/>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pPr>
            <w:r>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t>备注</w:t>
            </w:r>
          </w:p>
        </w:tc>
      </w:tr>
      <w:tr w14:paraId="0E8ED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630" w:type="dxa"/>
            <w:vMerge w:val="continue"/>
          </w:tcPr>
          <w:p w14:paraId="4E010B2B">
            <w:pPr>
              <w:widowControl/>
              <w:kinsoku/>
              <w:autoSpaceDE w:val="0"/>
              <w:autoSpaceDN w:val="0"/>
              <w:adjustRightInd w:val="0"/>
              <w:snapToGrid w:val="0"/>
              <w:spacing w:before="73" w:line="240" w:lineRule="auto"/>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1058" w:type="dxa"/>
            <w:vMerge w:val="continue"/>
          </w:tcPr>
          <w:p w14:paraId="305C93DF">
            <w:pPr>
              <w:widowControl/>
              <w:kinsoku/>
              <w:autoSpaceDE w:val="0"/>
              <w:autoSpaceDN w:val="0"/>
              <w:adjustRightInd w:val="0"/>
              <w:snapToGrid w:val="0"/>
              <w:spacing w:before="73" w:line="240" w:lineRule="auto"/>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675" w:type="dxa"/>
          </w:tcPr>
          <w:p w14:paraId="5CFC6C84">
            <w:pPr>
              <w:widowControl/>
              <w:kinsoku/>
              <w:autoSpaceDE w:val="0"/>
              <w:autoSpaceDN w:val="0"/>
              <w:adjustRightInd w:val="0"/>
              <w:snapToGrid w:val="0"/>
              <w:spacing w:before="73" w:line="240" w:lineRule="auto"/>
              <w:jc w:val="center"/>
              <w:textAlignment w:val="baseline"/>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pPr>
            <w:r>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t>满分</w:t>
            </w:r>
          </w:p>
        </w:tc>
        <w:tc>
          <w:tcPr>
            <w:tcW w:w="684" w:type="dxa"/>
          </w:tcPr>
          <w:p w14:paraId="21776030">
            <w:pPr>
              <w:widowControl/>
              <w:kinsoku/>
              <w:autoSpaceDE w:val="0"/>
              <w:autoSpaceDN w:val="0"/>
              <w:adjustRightInd w:val="0"/>
              <w:snapToGrid w:val="0"/>
              <w:spacing w:before="73" w:line="240" w:lineRule="auto"/>
              <w:jc w:val="center"/>
              <w:textAlignment w:val="baseline"/>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pPr>
            <w:r>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t>得分</w:t>
            </w:r>
          </w:p>
        </w:tc>
        <w:tc>
          <w:tcPr>
            <w:tcW w:w="1116" w:type="dxa"/>
            <w:gridSpan w:val="2"/>
            <w:vMerge w:val="continue"/>
          </w:tcPr>
          <w:p w14:paraId="5C82207F">
            <w:pPr>
              <w:widowControl/>
              <w:kinsoku/>
              <w:autoSpaceDE w:val="0"/>
              <w:autoSpaceDN w:val="0"/>
              <w:adjustRightInd w:val="0"/>
              <w:snapToGrid w:val="0"/>
              <w:spacing w:before="73" w:line="240" w:lineRule="auto"/>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7200" w:type="dxa"/>
            <w:vMerge w:val="continue"/>
          </w:tcPr>
          <w:p w14:paraId="482D4D61">
            <w:pPr>
              <w:widowControl/>
              <w:kinsoku/>
              <w:autoSpaceDE w:val="0"/>
              <w:autoSpaceDN w:val="0"/>
              <w:adjustRightInd w:val="0"/>
              <w:snapToGrid w:val="0"/>
              <w:spacing w:before="73" w:line="240" w:lineRule="auto"/>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1059" w:type="dxa"/>
            <w:vMerge w:val="continue"/>
          </w:tcPr>
          <w:p w14:paraId="575022C2">
            <w:pPr>
              <w:widowControl/>
              <w:kinsoku/>
              <w:autoSpaceDE w:val="0"/>
              <w:autoSpaceDN w:val="0"/>
              <w:adjustRightInd w:val="0"/>
              <w:snapToGrid w:val="0"/>
              <w:spacing w:before="73" w:line="240" w:lineRule="auto"/>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680" w:type="dxa"/>
            <w:vMerge w:val="continue"/>
          </w:tcPr>
          <w:p w14:paraId="0739C54E">
            <w:pPr>
              <w:widowControl/>
              <w:kinsoku/>
              <w:autoSpaceDE w:val="0"/>
              <w:autoSpaceDN w:val="0"/>
              <w:adjustRightInd w:val="0"/>
              <w:snapToGrid w:val="0"/>
              <w:spacing w:before="73" w:line="240" w:lineRule="auto"/>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r>
      <w:tr w14:paraId="27282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4" w:hRule="atLeast"/>
          <w:jc w:val="center"/>
        </w:trPr>
        <w:tc>
          <w:tcPr>
            <w:tcW w:w="1630" w:type="dxa"/>
            <w:vMerge w:val="restart"/>
            <w:vAlign w:val="center"/>
          </w:tcPr>
          <w:p w14:paraId="524C04F1">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kern w:val="0"/>
                <w:sz w:val="21"/>
                <w:szCs w:val="21"/>
                <w:highlight w:val="none"/>
                <w:vertAlign w:val="baseline"/>
                <w:lang w:eastAsia="en-US"/>
                <w14:ligatures w14:val="none"/>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一、环境影响评价制度</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《中华人民共和国固体废物污染环境防治法》，以下简称《固废法》</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，第十七条、第十八条）</w:t>
            </w:r>
          </w:p>
        </w:tc>
        <w:tc>
          <w:tcPr>
            <w:tcW w:w="1058" w:type="dxa"/>
            <w:vMerge w:val="restart"/>
            <w:vAlign w:val="center"/>
          </w:tcPr>
          <w:p w14:paraId="3AB1E760">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1.产废单位依法进行环境影响评价，完成“三同时”验收</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w:t>
            </w:r>
          </w:p>
        </w:tc>
        <w:tc>
          <w:tcPr>
            <w:tcW w:w="675" w:type="dxa"/>
            <w:vMerge w:val="restart"/>
            <w:vAlign w:val="center"/>
          </w:tcPr>
          <w:p w14:paraId="525B6C38">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2</w:t>
            </w:r>
          </w:p>
        </w:tc>
        <w:tc>
          <w:tcPr>
            <w:tcW w:w="684" w:type="dxa"/>
            <w:vMerge w:val="restart"/>
            <w:shd w:val="clear" w:color="auto" w:fill="auto"/>
            <w:vAlign w:val="center"/>
          </w:tcPr>
          <w:p w14:paraId="644FC703">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1116" w:type="dxa"/>
            <w:gridSpan w:val="2"/>
            <w:vMerge w:val="restart"/>
            <w:shd w:val="clear" w:color="auto" w:fill="auto"/>
            <w:vAlign w:val="center"/>
          </w:tcPr>
          <w:p w14:paraId="68CDA955">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有环评材料，且材料中对一般工业固废的信息描述完整。完成</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“三同时”</w:t>
            </w: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验收。</w:t>
            </w:r>
          </w:p>
        </w:tc>
        <w:tc>
          <w:tcPr>
            <w:tcW w:w="7200" w:type="dxa"/>
            <w:shd w:val="clear" w:color="auto" w:fill="auto"/>
            <w:vAlign w:val="center"/>
          </w:tcPr>
          <w:p w14:paraId="21113474">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1.满足以下条件之一的，得1分：</w:t>
            </w:r>
          </w:p>
          <w:p w14:paraId="6AFAFCB5">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（a）</w:t>
            </w:r>
            <w:r>
              <w:rPr>
                <w:rFonts w:hint="eastAsia" w:ascii="方正仿宋_GBK" w:hAnsi="方正仿宋_GBK" w:eastAsia="方正仿宋_GBK" w:cs="方正仿宋_GBK"/>
                <w:snapToGrid w:val="0"/>
                <w:color w:val="auto"/>
                <w:spacing w:val="-5"/>
                <w:kern w:val="0"/>
                <w:sz w:val="21"/>
                <w:szCs w:val="21"/>
                <w:highlight w:val="none"/>
                <w:lang w:eastAsia="en-US"/>
              </w:rPr>
              <w:t>编制环境影响报告书、环境影响报告表的建设项目</w:t>
            </w:r>
            <w:r>
              <w:rPr>
                <w:rFonts w:hint="eastAsia" w:ascii="方正仿宋_GBK" w:hAnsi="方正仿宋_GBK" w:eastAsia="方正仿宋_GBK" w:cs="方正仿宋_GBK"/>
                <w:snapToGrid w:val="0"/>
                <w:color w:val="auto"/>
                <w:spacing w:val="-5"/>
                <w:kern w:val="0"/>
                <w:sz w:val="21"/>
                <w:szCs w:val="21"/>
                <w:highlight w:val="none"/>
                <w:lang w:eastAsia="zh-CN"/>
              </w:rPr>
              <w:t>，</w:t>
            </w:r>
            <w:r>
              <w:rPr>
                <w:rFonts w:hint="eastAsia" w:ascii="方正仿宋_GBK" w:hAnsi="方正仿宋_GBK" w:eastAsia="方正仿宋_GBK" w:cs="方正仿宋_GBK"/>
                <w:snapToGrid w:val="0"/>
                <w:color w:val="auto"/>
                <w:spacing w:val="-5"/>
                <w:kern w:val="0"/>
                <w:sz w:val="21"/>
                <w:szCs w:val="21"/>
                <w:highlight w:val="none"/>
                <w:lang w:val="en-US" w:eastAsia="zh-CN"/>
              </w:rPr>
              <w:t>在</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环境影响评价文件</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中明确</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一般工业固体废物的种类、</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（代码）、</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名称、年度产生量、利用</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/处置</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方式和去向</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以及</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环境管理要求</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w:t>
            </w:r>
          </w:p>
          <w:p w14:paraId="15FBFA73">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（b）</w:t>
            </w:r>
            <w:r>
              <w:rPr>
                <w:rFonts w:hint="eastAsia" w:ascii="方正仿宋_GBK" w:hAnsi="方正仿宋_GBK" w:eastAsia="方正仿宋_GBK" w:cs="方正仿宋_GBK"/>
                <w:snapToGrid w:val="0"/>
                <w:color w:val="auto"/>
                <w:spacing w:val="-5"/>
                <w:kern w:val="0"/>
                <w:sz w:val="21"/>
                <w:szCs w:val="21"/>
                <w:highlight w:val="none"/>
                <w:lang w:eastAsia="en-US"/>
              </w:rPr>
              <w:t>填报环境影响登记表的建设项目，</w:t>
            </w:r>
            <w:r>
              <w:rPr>
                <w:rFonts w:hint="eastAsia" w:ascii="方正仿宋_GBK" w:hAnsi="方正仿宋_GBK" w:eastAsia="方正仿宋_GBK" w:cs="方正仿宋_GBK"/>
                <w:snapToGrid w:val="0"/>
                <w:color w:val="auto"/>
                <w:spacing w:val="-5"/>
                <w:kern w:val="0"/>
                <w:sz w:val="21"/>
                <w:szCs w:val="21"/>
                <w:highlight w:val="none"/>
                <w:lang w:val="en-US" w:eastAsia="zh-CN"/>
              </w:rPr>
              <w:t>在</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采取的环保措施及排放去向</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部分，载明一般工业固体废物的种类及最终流向。</w:t>
            </w:r>
          </w:p>
        </w:tc>
        <w:tc>
          <w:tcPr>
            <w:tcW w:w="1059" w:type="dxa"/>
            <w:vMerge w:val="restart"/>
            <w:vAlign w:val="center"/>
          </w:tcPr>
          <w:p w14:paraId="2468DD85">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资料检查（查看环评及批复文件、验收报告等）</w:t>
            </w:r>
          </w:p>
        </w:tc>
        <w:tc>
          <w:tcPr>
            <w:tcW w:w="680" w:type="dxa"/>
            <w:vMerge w:val="restart"/>
            <w:vAlign w:val="center"/>
          </w:tcPr>
          <w:p w14:paraId="7822A0D2">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r>
      <w:tr w14:paraId="3E4BC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1630" w:type="dxa"/>
            <w:vMerge w:val="continue"/>
            <w:vAlign w:val="center"/>
          </w:tcPr>
          <w:p w14:paraId="107DF688">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1058" w:type="dxa"/>
            <w:vMerge w:val="continue"/>
            <w:vAlign w:val="center"/>
          </w:tcPr>
          <w:p w14:paraId="7F8295B6">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p>
        </w:tc>
        <w:tc>
          <w:tcPr>
            <w:tcW w:w="675" w:type="dxa"/>
            <w:vMerge w:val="continue"/>
            <w:vAlign w:val="center"/>
          </w:tcPr>
          <w:p w14:paraId="48922F07">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684" w:type="dxa"/>
            <w:vMerge w:val="continue"/>
            <w:shd w:val="clear" w:color="auto" w:fill="auto"/>
            <w:vAlign w:val="center"/>
          </w:tcPr>
          <w:p w14:paraId="6225CC5C">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1116" w:type="dxa"/>
            <w:gridSpan w:val="2"/>
            <w:vMerge w:val="continue"/>
            <w:shd w:val="clear" w:color="auto" w:fill="auto"/>
            <w:vAlign w:val="center"/>
          </w:tcPr>
          <w:p w14:paraId="3D2056DD">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7200" w:type="dxa"/>
            <w:shd w:val="clear" w:color="auto" w:fill="auto"/>
            <w:vAlign w:val="center"/>
          </w:tcPr>
          <w:p w14:paraId="3527E4CA">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2.</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在环境影响评价文件</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中</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明确配套建设</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的</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一般固体废物贮存、利用、处置设施的环境保护标准</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，并依据相关标准</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分析</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了相关</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设施</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建设</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的可行性。</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得0.5分。</w:t>
            </w:r>
          </w:p>
        </w:tc>
        <w:tc>
          <w:tcPr>
            <w:tcW w:w="1059" w:type="dxa"/>
            <w:vMerge w:val="continue"/>
            <w:vAlign w:val="center"/>
          </w:tcPr>
          <w:p w14:paraId="6EF9C7A4">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680" w:type="dxa"/>
            <w:vMerge w:val="continue"/>
            <w:vAlign w:val="center"/>
          </w:tcPr>
          <w:p w14:paraId="4F31FADA">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r>
      <w:tr w14:paraId="1E8A3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1630" w:type="dxa"/>
            <w:vMerge w:val="continue"/>
            <w:vAlign w:val="center"/>
          </w:tcPr>
          <w:p w14:paraId="3CC70376">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1058" w:type="dxa"/>
            <w:vMerge w:val="continue"/>
            <w:vAlign w:val="center"/>
          </w:tcPr>
          <w:p w14:paraId="6A12D1E0">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pPr>
          </w:p>
        </w:tc>
        <w:tc>
          <w:tcPr>
            <w:tcW w:w="675" w:type="dxa"/>
            <w:vMerge w:val="continue"/>
            <w:vAlign w:val="center"/>
          </w:tcPr>
          <w:p w14:paraId="1A2BE588">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684" w:type="dxa"/>
            <w:vMerge w:val="continue"/>
            <w:shd w:val="clear" w:color="auto" w:fill="auto"/>
            <w:vAlign w:val="center"/>
          </w:tcPr>
          <w:p w14:paraId="6FE4E9BB">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1116" w:type="dxa"/>
            <w:gridSpan w:val="2"/>
            <w:vMerge w:val="continue"/>
            <w:shd w:val="clear" w:color="auto" w:fill="auto"/>
            <w:vAlign w:val="center"/>
          </w:tcPr>
          <w:p w14:paraId="3D487C6B">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7200" w:type="dxa"/>
            <w:shd w:val="clear" w:color="auto" w:fill="auto"/>
            <w:vAlign w:val="center"/>
          </w:tcPr>
          <w:p w14:paraId="49F326CC">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3.完成</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“三同时”</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验收</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或在验收期限内。</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得0.5分。</w:t>
            </w:r>
          </w:p>
        </w:tc>
        <w:tc>
          <w:tcPr>
            <w:tcW w:w="1059" w:type="dxa"/>
            <w:vMerge w:val="continue"/>
            <w:vAlign w:val="center"/>
          </w:tcPr>
          <w:p w14:paraId="5D19259E">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680" w:type="dxa"/>
            <w:vMerge w:val="continue"/>
            <w:vAlign w:val="center"/>
          </w:tcPr>
          <w:p w14:paraId="51CF5335">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r>
      <w:tr w14:paraId="08B17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1" w:hRule="atLeast"/>
          <w:jc w:val="center"/>
        </w:trPr>
        <w:tc>
          <w:tcPr>
            <w:tcW w:w="1630" w:type="dxa"/>
            <w:vMerge w:val="continue"/>
            <w:vAlign w:val="center"/>
          </w:tcPr>
          <w:p w14:paraId="2A6DD8A7">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1058" w:type="dxa"/>
            <w:vMerge w:val="continue"/>
            <w:vAlign w:val="center"/>
          </w:tcPr>
          <w:p w14:paraId="318754B3">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pPr>
          </w:p>
        </w:tc>
        <w:tc>
          <w:tcPr>
            <w:tcW w:w="675" w:type="dxa"/>
            <w:vMerge w:val="continue"/>
            <w:vAlign w:val="center"/>
          </w:tcPr>
          <w:p w14:paraId="796A0733">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684" w:type="dxa"/>
            <w:vMerge w:val="continue"/>
            <w:shd w:val="clear" w:color="auto" w:fill="auto"/>
            <w:vAlign w:val="center"/>
          </w:tcPr>
          <w:p w14:paraId="09F23928">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1116" w:type="dxa"/>
            <w:gridSpan w:val="2"/>
            <w:vMerge w:val="continue"/>
            <w:shd w:val="clear" w:color="auto" w:fill="auto"/>
            <w:vAlign w:val="center"/>
          </w:tcPr>
          <w:p w14:paraId="2D68C9F8">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7200" w:type="dxa"/>
            <w:shd w:val="clear" w:color="auto" w:fill="auto"/>
            <w:vAlign w:val="center"/>
          </w:tcPr>
          <w:p w14:paraId="01080EEA">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bCs/>
                <w:snapToGrid w:val="0"/>
                <w:color w:val="auto"/>
                <w:spacing w:val="-5"/>
                <w:kern w:val="0"/>
                <w:sz w:val="21"/>
                <w:szCs w:val="21"/>
                <w:highlight w:val="none"/>
                <w:lang w:val="en-US" w:eastAsia="zh-CN" w:bidi="ar-SA"/>
              </w:rPr>
              <w:t>注</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：（1）2024年1月22日后编制的环境影响评价文件应依据《固体废物分类与代码目录》（生态环境部公告2024年第4号）增加一般工业固废的废物代码。</w:t>
            </w:r>
          </w:p>
          <w:p w14:paraId="4A708AD0">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（2）在《中华人民共和国环境影响评价法》实施（2003年9月1日）前已建成，又未发生改建、扩建的项目，若可提供开展“四清四治”专项行动的证明材料，本项制度评估得分记满分。</w:t>
            </w:r>
          </w:p>
        </w:tc>
        <w:tc>
          <w:tcPr>
            <w:tcW w:w="1059" w:type="dxa"/>
            <w:vMerge w:val="continue"/>
            <w:vAlign w:val="center"/>
          </w:tcPr>
          <w:p w14:paraId="4EB3EC35">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680" w:type="dxa"/>
            <w:vMerge w:val="continue"/>
            <w:vAlign w:val="center"/>
          </w:tcPr>
          <w:p w14:paraId="6136D93C">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r>
      <w:tr w14:paraId="417F2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jc w:val="center"/>
        </w:trPr>
        <w:tc>
          <w:tcPr>
            <w:tcW w:w="1630" w:type="dxa"/>
            <w:vMerge w:val="restart"/>
            <w:vAlign w:val="center"/>
          </w:tcPr>
          <w:p w14:paraId="17E6F287">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二、排污许可制度</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《固废法》第三十九条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《排污许可管理条例》（国务院令第736号）</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《排污许可管理办法》（生态环境部令第32号）</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《排污许可证申请与核发技术规范</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 xml:space="preserve"> </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工业固体废物（试行）》（HJ</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 xml:space="preserve"> </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1200）</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《关于开展工业固体废物排污许可管理工作的通知》（环办环评〔2021〕26号）</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tc>
        <w:tc>
          <w:tcPr>
            <w:tcW w:w="1058" w:type="dxa"/>
            <w:vMerge w:val="restart"/>
            <w:vAlign w:val="center"/>
          </w:tcPr>
          <w:p w14:paraId="5164A319">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2.排污单位</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按照《固定污染源排污许可分类管理名录》</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依法取得排污许可证</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或进行排污登记</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w:t>
            </w:r>
          </w:p>
        </w:tc>
        <w:tc>
          <w:tcPr>
            <w:tcW w:w="675" w:type="dxa"/>
            <w:vAlign w:val="center"/>
          </w:tcPr>
          <w:p w14:paraId="7EEFBF14">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1</w:t>
            </w:r>
          </w:p>
        </w:tc>
        <w:tc>
          <w:tcPr>
            <w:tcW w:w="684" w:type="dxa"/>
            <w:shd w:val="clear" w:color="auto" w:fill="auto"/>
            <w:vAlign w:val="center"/>
          </w:tcPr>
          <w:p w14:paraId="0387E187">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1116" w:type="dxa"/>
            <w:gridSpan w:val="2"/>
            <w:vMerge w:val="restart"/>
            <w:shd w:val="clear" w:color="auto" w:fill="auto"/>
            <w:vAlign w:val="center"/>
          </w:tcPr>
          <w:p w14:paraId="14E9CD23">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r>
              <w:rPr>
                <w:rFonts w:hint="eastAsia" w:ascii="方正仿宋_GBK" w:hAnsi="方正仿宋_GBK" w:eastAsia="方正仿宋_GBK" w:cs="方正仿宋_GBK"/>
                <w:b w:val="0"/>
                <w:bCs w:val="0"/>
                <w:color w:val="auto"/>
                <w:sz w:val="21"/>
                <w:szCs w:val="21"/>
                <w:highlight w:val="none"/>
                <w:lang w:val="en-US" w:eastAsia="zh-CN" w:bidi="ar-SA"/>
              </w:rPr>
              <w:t>按照HJ 1200和相关行业排污许可证申请与核发技术规范申领排污许可证，核发的排污许可证中载明一般工业固废的排放信息及环境管理要求。</w:t>
            </w:r>
          </w:p>
        </w:tc>
        <w:tc>
          <w:tcPr>
            <w:tcW w:w="7200" w:type="dxa"/>
            <w:shd w:val="clear" w:color="auto" w:fill="auto"/>
            <w:vAlign w:val="center"/>
          </w:tcPr>
          <w:p w14:paraId="60031A8E">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1.1.在排污许可证中如实申报并载明一般工业固体废物的排放信息。得1分。</w:t>
            </w:r>
          </w:p>
          <w:p w14:paraId="2BDE0BDE">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1.2.载明的一般工业固体废物排放信息有1处错误。得0.5分。</w:t>
            </w:r>
          </w:p>
          <w:p w14:paraId="04C5E742">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trike/>
                <w:snapToGrid w:val="0"/>
                <w:color w:val="auto"/>
                <w:spacing w:val="-5"/>
                <w:kern w:val="0"/>
                <w:sz w:val="21"/>
                <w:szCs w:val="21"/>
                <w:highlight w:val="none"/>
                <w:lang w:val="en-US" w:eastAsia="zh-CN"/>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1.3.未申报一般工业固体废物排放，或填写排放信息有2处及以上错误。得0分。</w:t>
            </w:r>
          </w:p>
        </w:tc>
        <w:tc>
          <w:tcPr>
            <w:tcW w:w="1059" w:type="dxa"/>
            <w:vMerge w:val="restart"/>
            <w:vAlign w:val="center"/>
          </w:tcPr>
          <w:p w14:paraId="354579A7">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en-US"/>
                <w14:ligatures w14:val="none"/>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资料检查（查看排污许可证副本；核查“全国排污许可证管理信息平台”填报记录）</w:t>
            </w:r>
          </w:p>
        </w:tc>
        <w:tc>
          <w:tcPr>
            <w:tcW w:w="680" w:type="dxa"/>
            <w:vMerge w:val="restart"/>
            <w:vAlign w:val="center"/>
          </w:tcPr>
          <w:p w14:paraId="18A26C8F">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en-US"/>
                <w14:ligatures w14:val="none"/>
              </w:rPr>
            </w:pPr>
          </w:p>
        </w:tc>
      </w:tr>
      <w:tr w14:paraId="55186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1" w:hRule="atLeast"/>
          <w:jc w:val="center"/>
        </w:trPr>
        <w:tc>
          <w:tcPr>
            <w:tcW w:w="1630" w:type="dxa"/>
            <w:vMerge w:val="continue"/>
            <w:vAlign w:val="center"/>
          </w:tcPr>
          <w:p w14:paraId="36AB92C3">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058" w:type="dxa"/>
            <w:vMerge w:val="continue"/>
            <w:vAlign w:val="center"/>
          </w:tcPr>
          <w:p w14:paraId="309230D1">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p>
        </w:tc>
        <w:tc>
          <w:tcPr>
            <w:tcW w:w="675" w:type="dxa"/>
            <w:vAlign w:val="center"/>
          </w:tcPr>
          <w:p w14:paraId="05F7E11B">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1</w:t>
            </w:r>
          </w:p>
        </w:tc>
        <w:tc>
          <w:tcPr>
            <w:tcW w:w="684" w:type="dxa"/>
            <w:shd w:val="clear" w:color="auto" w:fill="auto"/>
            <w:vAlign w:val="center"/>
          </w:tcPr>
          <w:p w14:paraId="2937F466">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1116" w:type="dxa"/>
            <w:gridSpan w:val="2"/>
            <w:vMerge w:val="continue"/>
            <w:shd w:val="clear" w:color="auto" w:fill="auto"/>
            <w:vAlign w:val="center"/>
          </w:tcPr>
          <w:p w14:paraId="7226D9B3">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pPr>
          </w:p>
        </w:tc>
        <w:tc>
          <w:tcPr>
            <w:tcW w:w="7200" w:type="dxa"/>
            <w:shd w:val="clear" w:color="auto" w:fill="auto"/>
            <w:vAlign w:val="center"/>
          </w:tcPr>
          <w:p w14:paraId="308B6FC3">
            <w:pP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2.</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2022年1月1日后首次申请</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或由于</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有效期届满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及</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其他原因重新申请、变更</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的</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排污许可证</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载明一般工业固体废物环境管理要求。</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得1分。</w:t>
            </w:r>
          </w:p>
          <w:p w14:paraId="129CA635">
            <w:pPr>
              <w:rPr>
                <w:rFonts w:hint="eastAsia" w:ascii="方正仿宋_GBK" w:hAnsi="方正仿宋_GBK" w:eastAsia="方正仿宋_GBK" w:cs="方正仿宋_GBK"/>
                <w:b/>
                <w:bCs/>
                <w:snapToGrid w:val="0"/>
                <w:color w:val="auto"/>
                <w:spacing w:val="-5"/>
                <w:kern w:val="0"/>
                <w:sz w:val="21"/>
                <w:szCs w:val="21"/>
                <w:highlight w:val="none"/>
                <w:lang w:val="en-US" w:eastAsia="zh-CN" w:bidi="ar-SA"/>
              </w:rPr>
            </w:pPr>
          </w:p>
          <w:p w14:paraId="140B77B6">
            <w:pPr>
              <w:keepNext w:val="0"/>
              <w:keepLines w:val="0"/>
              <w:pageBreakBefore w:val="0"/>
              <w:widowControl/>
              <w:kinsoku/>
              <w:wordWrap/>
              <w:overflowPunct/>
              <w:topLinePunct w:val="0"/>
              <w:autoSpaceDE/>
              <w:autoSpaceDN/>
              <w:bidi w:val="0"/>
              <w:adjustRightInd/>
              <w:snapToGrid/>
              <w:spacing w:line="240" w:lineRule="auto"/>
              <w:ind w:left="0" w:right="0"/>
              <w:jc w:val="left"/>
              <w:textAlignment w:val="auto"/>
              <w:rPr>
                <w:rFonts w:hint="eastAsia" w:ascii="方正仿宋_GBK" w:hAnsi="方正仿宋_GBK" w:eastAsia="方正仿宋_GBK" w:cs="方正仿宋_GBK"/>
                <w:strike w:val="0"/>
                <w:snapToGrid w:val="0"/>
                <w:color w:val="auto"/>
                <w:spacing w:val="-5"/>
                <w:kern w:val="0"/>
                <w:sz w:val="21"/>
                <w:szCs w:val="21"/>
                <w:highlight w:val="none"/>
                <w:lang w:val="en-US" w:eastAsia="zh-CN"/>
              </w:rPr>
            </w:pPr>
            <w:r>
              <w:rPr>
                <w:rFonts w:hint="eastAsia" w:ascii="方正仿宋_GBK" w:hAnsi="方正仿宋_GBK" w:eastAsia="方正仿宋_GBK" w:cs="方正仿宋_GBK"/>
                <w:b/>
                <w:bCs/>
                <w:snapToGrid w:val="0"/>
                <w:color w:val="auto"/>
                <w:spacing w:val="-5"/>
                <w:kern w:val="0"/>
                <w:sz w:val="21"/>
                <w:szCs w:val="21"/>
                <w:highlight w:val="none"/>
                <w:lang w:val="en-US" w:eastAsia="zh-CN" w:bidi="ar-SA"/>
              </w:rPr>
              <w:t>注</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2022年1月1日前已经申请取得排污许可证</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的产生</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单位</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，在排污许可证有效期内</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无需</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针对环境管理要求</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单独申请变更或重新申请</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排污许可证。本项细则评估得分记满分</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w:t>
            </w:r>
          </w:p>
        </w:tc>
        <w:tc>
          <w:tcPr>
            <w:tcW w:w="1059" w:type="dxa"/>
            <w:vMerge w:val="continue"/>
            <w:vAlign w:val="center"/>
          </w:tcPr>
          <w:p w14:paraId="2A18F6EF">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680" w:type="dxa"/>
            <w:vMerge w:val="continue"/>
            <w:vAlign w:val="center"/>
          </w:tcPr>
          <w:p w14:paraId="03134540">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en-US"/>
                <w14:ligatures w14:val="none"/>
              </w:rPr>
            </w:pPr>
          </w:p>
        </w:tc>
      </w:tr>
      <w:tr w14:paraId="2EE78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1" w:hRule="atLeast"/>
          <w:jc w:val="center"/>
        </w:trPr>
        <w:tc>
          <w:tcPr>
            <w:tcW w:w="1630" w:type="dxa"/>
            <w:vMerge w:val="continue"/>
            <w:shd w:val="clear" w:color="auto" w:fill="auto"/>
            <w:vAlign w:val="center"/>
          </w:tcPr>
          <w:p w14:paraId="34B46D15">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p>
        </w:tc>
        <w:tc>
          <w:tcPr>
            <w:tcW w:w="1058" w:type="dxa"/>
            <w:vMerge w:val="continue"/>
            <w:shd w:val="clear" w:color="auto" w:fill="auto"/>
            <w:vAlign w:val="center"/>
          </w:tcPr>
          <w:p w14:paraId="1F6398D7">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pPr>
          </w:p>
        </w:tc>
        <w:tc>
          <w:tcPr>
            <w:tcW w:w="675" w:type="dxa"/>
            <w:vAlign w:val="center"/>
          </w:tcPr>
          <w:p w14:paraId="4BDA48FC">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1</w:t>
            </w:r>
          </w:p>
        </w:tc>
        <w:tc>
          <w:tcPr>
            <w:tcW w:w="684" w:type="dxa"/>
            <w:shd w:val="clear" w:color="auto" w:fill="auto"/>
            <w:vAlign w:val="center"/>
          </w:tcPr>
          <w:p w14:paraId="35CEEEE9">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pPr>
          </w:p>
        </w:tc>
        <w:tc>
          <w:tcPr>
            <w:tcW w:w="1116" w:type="dxa"/>
            <w:gridSpan w:val="2"/>
            <w:vMerge w:val="continue"/>
            <w:shd w:val="clear" w:color="auto" w:fill="auto"/>
            <w:vAlign w:val="center"/>
          </w:tcPr>
          <w:p w14:paraId="35AF08FB">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p>
        </w:tc>
        <w:tc>
          <w:tcPr>
            <w:tcW w:w="7200" w:type="dxa"/>
            <w:shd w:val="clear" w:color="auto" w:fill="auto"/>
            <w:vAlign w:val="center"/>
          </w:tcPr>
          <w:p w14:paraId="51EE4721">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3</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在“全国排污许可证管理信息平台”中如实填报了上一年度“一般工业固体废物电子台账”。得1分。</w:t>
            </w:r>
          </w:p>
        </w:tc>
        <w:tc>
          <w:tcPr>
            <w:tcW w:w="1059" w:type="dxa"/>
            <w:vMerge w:val="continue"/>
            <w:vAlign w:val="center"/>
          </w:tcPr>
          <w:p w14:paraId="600DD877">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680" w:type="dxa"/>
            <w:vMerge w:val="continue"/>
            <w:vAlign w:val="center"/>
          </w:tcPr>
          <w:p w14:paraId="554FC078">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r>
      <w:tr w14:paraId="41B03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1630" w:type="dxa"/>
            <w:shd w:val="clear" w:color="auto" w:fill="auto"/>
            <w:vAlign w:val="center"/>
          </w:tcPr>
          <w:p w14:paraId="3016D140">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三、清洁生产制度</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《固废法》第三十八条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；《中华人民共和国清洁生产促进法》（中华人民共和国主席令第72号）；《清洁生产审核办法》（</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国家发展改革委</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环境保护部令第38号</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tc>
        <w:tc>
          <w:tcPr>
            <w:tcW w:w="1058" w:type="dxa"/>
            <w:shd w:val="clear" w:color="auto" w:fill="auto"/>
            <w:vAlign w:val="center"/>
          </w:tcPr>
          <w:p w14:paraId="0639E2EF">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3.基于区级或市级生态环境局发布的“清洁生产审核企业名单”，产废单位</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依法实施清洁生产审核。</w:t>
            </w:r>
          </w:p>
        </w:tc>
        <w:tc>
          <w:tcPr>
            <w:tcW w:w="675" w:type="dxa"/>
            <w:shd w:val="clear" w:color="auto" w:fill="auto"/>
            <w:vAlign w:val="center"/>
          </w:tcPr>
          <w:p w14:paraId="62749D9E">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2</w:t>
            </w:r>
          </w:p>
        </w:tc>
        <w:tc>
          <w:tcPr>
            <w:tcW w:w="684" w:type="dxa"/>
            <w:shd w:val="clear" w:color="auto" w:fill="auto"/>
            <w:vAlign w:val="center"/>
          </w:tcPr>
          <w:p w14:paraId="015EEB2E">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c>
          <w:tcPr>
            <w:tcW w:w="1116" w:type="dxa"/>
            <w:gridSpan w:val="2"/>
            <w:shd w:val="clear" w:color="auto" w:fill="auto"/>
            <w:vAlign w:val="center"/>
          </w:tcPr>
          <w:p w14:paraId="59548E25">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执行</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性清洁生产审核的企业</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按规定实施清洁生产审核，降低了一般工业固体废物产生强度</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，并将实施情况纳入</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了</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审核报告。</w:t>
            </w:r>
          </w:p>
        </w:tc>
        <w:tc>
          <w:tcPr>
            <w:tcW w:w="7200" w:type="dxa"/>
            <w:shd w:val="clear" w:color="auto" w:fill="auto"/>
            <w:vAlign w:val="center"/>
          </w:tcPr>
          <w:p w14:paraId="020AFB54">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1.</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被列入区级或市级“清洁生产审核企业名单”的企业按规定</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实施</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了</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清洁生产审核</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。得1分。</w:t>
            </w:r>
          </w:p>
          <w:p w14:paraId="23A9E4C8">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2.实施</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了</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清洁生产审核的企业</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w:t>
            </w:r>
          </w:p>
          <w:p w14:paraId="2FF0E84A">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（a）通过清洁生产审核</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减少</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了</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一般工业固体废物</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的</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产生</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强度</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，并将实施情况纳入清洁生产审核报告。</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得1分。</w:t>
            </w:r>
          </w:p>
          <w:p w14:paraId="12AD97A3">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（b）通过清洁生产审核未</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减少一般工业固体废物</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的</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产生</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强度。得0分。</w:t>
            </w:r>
          </w:p>
          <w:p w14:paraId="5A64A4D0">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p>
          <w:p w14:paraId="6C692ED1">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bCs/>
                <w:snapToGrid w:val="0"/>
                <w:color w:val="auto"/>
                <w:spacing w:val="-5"/>
                <w:kern w:val="0"/>
                <w:sz w:val="21"/>
                <w:szCs w:val="21"/>
                <w:highlight w:val="none"/>
                <w:lang w:val="en-US" w:eastAsia="zh-CN" w:bidi="ar-SA"/>
              </w:rPr>
              <w:t>注</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：未列入市级或区级“清洁生产审核企业名单”的企业，该项制度不计分。</w:t>
            </w:r>
          </w:p>
        </w:tc>
        <w:tc>
          <w:tcPr>
            <w:tcW w:w="1059" w:type="dxa"/>
            <w:vAlign w:val="center"/>
          </w:tcPr>
          <w:p w14:paraId="47347646">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资料检查（查看清洁生产审核报告、专家意见、验收报告等）</w:t>
            </w:r>
          </w:p>
        </w:tc>
        <w:tc>
          <w:tcPr>
            <w:tcW w:w="680" w:type="dxa"/>
            <w:vAlign w:val="center"/>
          </w:tcPr>
          <w:p w14:paraId="105BD304">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r>
      <w:tr w14:paraId="1BEB1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5" w:hRule="atLeast"/>
          <w:jc w:val="center"/>
        </w:trPr>
        <w:tc>
          <w:tcPr>
            <w:tcW w:w="1630" w:type="dxa"/>
            <w:vMerge w:val="restart"/>
            <w:shd w:val="clear" w:color="auto" w:fill="auto"/>
            <w:vAlign w:val="center"/>
          </w:tcPr>
          <w:p w14:paraId="1CC30A0E">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四、管理台账制度</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《固废法》第三十六条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《尾矿污染环境防治管理办法》（生态环境部令第26号）</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《一般工业固体废物管理台账制定指南（试行）》（生态环境部公告2021年第82号）</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tc>
        <w:tc>
          <w:tcPr>
            <w:tcW w:w="1058" w:type="dxa"/>
            <w:vMerge w:val="restart"/>
            <w:shd w:val="clear" w:color="auto" w:fill="auto"/>
            <w:vAlign w:val="center"/>
          </w:tcPr>
          <w:p w14:paraId="7EA84BDB">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4.</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产废单位</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按照</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《一般工业固体废物管理台账制定指南（试行）》建立</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一般</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工业固体废物管理台账</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w:t>
            </w:r>
          </w:p>
        </w:tc>
        <w:tc>
          <w:tcPr>
            <w:tcW w:w="675" w:type="dxa"/>
            <w:shd w:val="clear" w:color="auto" w:fill="auto"/>
            <w:vAlign w:val="center"/>
          </w:tcPr>
          <w:p w14:paraId="3133D377">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jc w:val="center"/>
              <w:textAlignment w:val="baseline"/>
              <w:rPr>
                <w:rFonts w:hint="eastAsia" w:ascii="方正仿宋_GBK" w:hAnsi="方正仿宋_GBK" w:eastAsia="方正仿宋_GBK" w:cs="方正仿宋_GBK"/>
                <w:snapToGrid w:val="0"/>
                <w:color w:val="auto"/>
                <w:kern w:val="0"/>
                <w:sz w:val="21"/>
                <w:szCs w:val="21"/>
                <w:highlight w:val="none"/>
                <w:lang w:val="en-US" w:eastAsia="zh-CN" w:bidi="ar-SA"/>
                <w14:ligatures w14:val="standardContextual"/>
              </w:rPr>
            </w:pPr>
            <w:r>
              <w:rPr>
                <w:rFonts w:hint="eastAsia" w:ascii="方正仿宋_GBK" w:hAnsi="方正仿宋_GBK" w:eastAsia="方正仿宋_GBK" w:cs="方正仿宋_GBK"/>
                <w:snapToGrid w:val="0"/>
                <w:color w:val="auto"/>
                <w:kern w:val="0"/>
                <w:sz w:val="21"/>
                <w:szCs w:val="21"/>
                <w:highlight w:val="none"/>
                <w:lang w:val="en-US" w:eastAsia="zh-CN" w:bidi="ar-SA"/>
                <w14:ligatures w14:val="standardContextual"/>
              </w:rPr>
              <w:t>6</w:t>
            </w:r>
          </w:p>
        </w:tc>
        <w:tc>
          <w:tcPr>
            <w:tcW w:w="684" w:type="dxa"/>
            <w:shd w:val="clear" w:color="auto" w:fill="auto"/>
            <w:vAlign w:val="center"/>
          </w:tcPr>
          <w:p w14:paraId="23D8ECE8">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jc w:val="center"/>
              <w:textAlignment w:val="baseline"/>
              <w:rPr>
                <w:rFonts w:hint="eastAsia" w:ascii="方正仿宋_GBK" w:hAnsi="方正仿宋_GBK" w:eastAsia="方正仿宋_GBK" w:cs="方正仿宋_GBK"/>
                <w:snapToGrid w:val="0"/>
                <w:color w:val="auto"/>
                <w:kern w:val="0"/>
                <w:sz w:val="21"/>
                <w:szCs w:val="21"/>
                <w:highlight w:val="none"/>
                <w:lang w:val="en-US" w:eastAsia="zh-CN" w:bidi="ar-SA"/>
                <w14:ligatures w14:val="standardContextual"/>
              </w:rPr>
            </w:pPr>
          </w:p>
        </w:tc>
        <w:tc>
          <w:tcPr>
            <w:tcW w:w="1116" w:type="dxa"/>
            <w:gridSpan w:val="2"/>
            <w:vMerge w:val="restart"/>
            <w:shd w:val="clear" w:color="auto" w:fill="auto"/>
            <w:vAlign w:val="center"/>
          </w:tcPr>
          <w:p w14:paraId="6C2F0CCF">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产废单位按</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规定</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建</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立一般</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工业固体废物管理台账</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，且符合保存年限要求。产生尾矿的单位通过信息系统准确填报相关信息。</w:t>
            </w:r>
          </w:p>
        </w:tc>
        <w:tc>
          <w:tcPr>
            <w:tcW w:w="7200" w:type="dxa"/>
            <w:shd w:val="clear" w:color="auto" w:fill="auto"/>
            <w:vAlign w:val="center"/>
          </w:tcPr>
          <w:p w14:paraId="6ED9AE03">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1.</w:t>
            </w:r>
            <w:r>
              <w:rPr>
                <w:rFonts w:hint="eastAsia" w:ascii="方正仿宋_GBK" w:hAnsi="方正仿宋_GBK" w:eastAsia="方正仿宋_GBK" w:cs="方正仿宋_GBK"/>
                <w:snapToGrid w:val="0"/>
                <w:color w:val="auto"/>
                <w:spacing w:val="-5"/>
                <w:kern w:val="0"/>
                <w:sz w:val="21"/>
                <w:szCs w:val="21"/>
                <w:highlight w:val="none"/>
                <w:lang w:val="en-US" w:eastAsia="zh-CN"/>
              </w:rPr>
              <w:t>产生一般工业固体废物的规模以上、年产生量100吨及以上（近三年内）的企业</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，应</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建立</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产生、入库、出库、自行利用处置等各环节的管理</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台账，全面、准确地记录一般工业固体废物种类、代码、数量、流向、贮存、利用、处置等信息。</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得6分。上述内容每缺失1项或数据每错误1处，扣1分。最多扣6分。</w:t>
            </w:r>
          </w:p>
          <w:p w14:paraId="49F6B9FE">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p w14:paraId="4C049971">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pPr>
            <w:r>
              <w:rPr>
                <w:rFonts w:hint="eastAsia" w:ascii="方正仿宋_GBK" w:hAnsi="方正仿宋_GBK" w:eastAsia="方正仿宋_GBK" w:cs="方正仿宋_GBK"/>
                <w:b/>
                <w:bCs/>
                <w:snapToGrid w:val="0"/>
                <w:color w:val="auto"/>
                <w:spacing w:val="-5"/>
                <w:kern w:val="0"/>
                <w:sz w:val="21"/>
                <w:szCs w:val="21"/>
                <w:highlight w:val="none"/>
                <w:lang w:val="en-US" w:eastAsia="en-US" w:bidi="ar-SA"/>
                <w14:ligatures w14:val="standardContextual"/>
              </w:rPr>
              <w:t>注：</w:t>
            </w:r>
            <w:r>
              <w:rPr>
                <w:rFonts w:hint="eastAsia" w:ascii="方正仿宋_GBK" w:hAnsi="方正仿宋_GBK" w:eastAsia="方正仿宋_GBK" w:cs="方正仿宋_GBK"/>
                <w:snapToGrid w:val="0"/>
                <w:color w:val="auto"/>
                <w:spacing w:val="-5"/>
                <w:kern w:val="0"/>
                <w:sz w:val="21"/>
                <w:szCs w:val="21"/>
                <w:highlight w:val="none"/>
              </w:rPr>
              <w:t>鼓励优先建立电子台账</w:t>
            </w:r>
            <w:r>
              <w:rPr>
                <w:rFonts w:hint="eastAsia" w:ascii="方正仿宋_GBK" w:hAnsi="方正仿宋_GBK" w:eastAsia="方正仿宋_GBK" w:cs="方正仿宋_GBK"/>
                <w:snapToGrid w:val="0"/>
                <w:color w:val="auto"/>
                <w:spacing w:val="-5"/>
                <w:kern w:val="0"/>
                <w:sz w:val="21"/>
                <w:szCs w:val="21"/>
                <w:highlight w:val="none"/>
                <w:lang w:eastAsia="zh-CN"/>
              </w:rPr>
              <w:t>。</w:t>
            </w:r>
            <w:r>
              <w:rPr>
                <w:rFonts w:hint="eastAsia" w:ascii="方正仿宋_GBK" w:hAnsi="方正仿宋_GBK" w:eastAsia="方正仿宋_GBK" w:cs="方正仿宋_GBK"/>
                <w:snapToGrid w:val="0"/>
                <w:color w:val="auto"/>
                <w:spacing w:val="-5"/>
                <w:kern w:val="0"/>
                <w:sz w:val="21"/>
                <w:szCs w:val="21"/>
                <w:highlight w:val="none"/>
                <w:lang w:val="en-US" w:eastAsia="zh-CN"/>
              </w:rPr>
              <w:t>电子台账：信息系统导出文件、表格或文档。</w:t>
            </w:r>
            <w:r>
              <w:rPr>
                <w:rFonts w:hint="eastAsia" w:ascii="方正仿宋_GBK" w:hAnsi="方正仿宋_GBK" w:eastAsia="方正仿宋_GBK" w:cs="方正仿宋_GBK"/>
                <w:snapToGrid w:val="0"/>
                <w:color w:val="auto"/>
                <w:spacing w:val="-5"/>
                <w:kern w:val="0"/>
                <w:sz w:val="21"/>
                <w:szCs w:val="21"/>
                <w:highlight w:val="none"/>
                <w:lang w:eastAsia="zh-CN"/>
              </w:rPr>
              <w:t>建立电子台</w:t>
            </w:r>
            <w:r>
              <w:rPr>
                <w:rFonts w:hint="eastAsia" w:ascii="方正仿宋_GBK" w:hAnsi="方正仿宋_GBK" w:eastAsia="方正仿宋_GBK" w:cs="方正仿宋_GBK"/>
                <w:snapToGrid w:val="0"/>
                <w:color w:val="auto"/>
                <w:spacing w:val="-5"/>
                <w:kern w:val="0"/>
                <w:sz w:val="21"/>
                <w:szCs w:val="21"/>
                <w:highlight w:val="none"/>
                <w:lang w:eastAsia="en-US"/>
              </w:rPr>
              <w:t>账</w:t>
            </w:r>
            <w:r>
              <w:rPr>
                <w:rFonts w:hint="eastAsia" w:ascii="方正仿宋_GBK" w:hAnsi="方正仿宋_GBK" w:eastAsia="方正仿宋_GBK" w:cs="方正仿宋_GBK"/>
                <w:snapToGrid w:val="0"/>
                <w:color w:val="auto"/>
                <w:spacing w:val="-5"/>
                <w:kern w:val="0"/>
                <w:sz w:val="21"/>
                <w:szCs w:val="21"/>
                <w:highlight w:val="none"/>
                <w:lang w:val="en-US" w:eastAsia="zh-CN"/>
              </w:rPr>
              <w:t>的</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产废单位</w:t>
            </w:r>
            <w:r>
              <w:rPr>
                <w:rFonts w:hint="eastAsia" w:ascii="方正仿宋_GBK" w:hAnsi="方正仿宋_GBK" w:eastAsia="方正仿宋_GBK" w:cs="方正仿宋_GBK"/>
                <w:snapToGrid w:val="0"/>
                <w:color w:val="auto"/>
                <w:spacing w:val="-5"/>
                <w:kern w:val="0"/>
                <w:sz w:val="21"/>
                <w:szCs w:val="21"/>
                <w:highlight w:val="none"/>
                <w:lang w:eastAsia="zh-CN"/>
              </w:rPr>
              <w:t>，</w:t>
            </w:r>
            <w:r>
              <w:rPr>
                <w:rFonts w:hint="eastAsia" w:ascii="方正仿宋_GBK" w:hAnsi="方正仿宋_GBK" w:eastAsia="方正仿宋_GBK" w:cs="方正仿宋_GBK"/>
                <w:snapToGrid w:val="0"/>
                <w:color w:val="auto"/>
                <w:spacing w:val="-5"/>
                <w:kern w:val="0"/>
                <w:sz w:val="21"/>
                <w:szCs w:val="21"/>
                <w:highlight w:val="none"/>
                <w:lang w:val="en-US" w:eastAsia="zh-CN"/>
              </w:rPr>
              <w:t>可根据实际情况自行决定是否</w:t>
            </w:r>
            <w:r>
              <w:rPr>
                <w:rFonts w:hint="eastAsia" w:ascii="方正仿宋_GBK" w:hAnsi="方正仿宋_GBK" w:eastAsia="方正仿宋_GBK" w:cs="方正仿宋_GBK"/>
                <w:snapToGrid w:val="0"/>
                <w:color w:val="auto"/>
                <w:spacing w:val="-5"/>
                <w:kern w:val="0"/>
                <w:sz w:val="21"/>
                <w:szCs w:val="21"/>
                <w:highlight w:val="none"/>
                <w:lang w:eastAsia="en-US"/>
              </w:rPr>
              <w:t>再记录纸质台账。</w:t>
            </w:r>
          </w:p>
        </w:tc>
        <w:tc>
          <w:tcPr>
            <w:tcW w:w="1059" w:type="dxa"/>
            <w:vMerge w:val="restart"/>
            <w:vAlign w:val="center"/>
          </w:tcPr>
          <w:p w14:paraId="69F81EFA">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资料检查（查看每年度的台账、电子信息系统和转移联单等资料）</w:t>
            </w:r>
          </w:p>
        </w:tc>
        <w:tc>
          <w:tcPr>
            <w:tcW w:w="680" w:type="dxa"/>
            <w:vMerge w:val="restart"/>
            <w:vAlign w:val="center"/>
          </w:tcPr>
          <w:p w14:paraId="17B2FA89">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r>
      <w:tr w14:paraId="48704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630" w:type="dxa"/>
            <w:vMerge w:val="continue"/>
            <w:shd w:val="clear" w:color="auto" w:fill="auto"/>
            <w:vAlign w:val="center"/>
          </w:tcPr>
          <w:p w14:paraId="3C4E63D9">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058" w:type="dxa"/>
            <w:vMerge w:val="continue"/>
            <w:shd w:val="clear" w:color="auto" w:fill="auto"/>
            <w:vAlign w:val="center"/>
          </w:tcPr>
          <w:p w14:paraId="6C9DC0DD">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675" w:type="dxa"/>
            <w:shd w:val="clear" w:color="auto" w:fill="auto"/>
            <w:vAlign w:val="center"/>
          </w:tcPr>
          <w:p w14:paraId="11DD72C5">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jc w:val="center"/>
              <w:textAlignment w:val="baseline"/>
              <w:rPr>
                <w:rFonts w:hint="eastAsia" w:ascii="方正仿宋_GBK" w:hAnsi="方正仿宋_GBK" w:eastAsia="方正仿宋_GBK" w:cs="方正仿宋_GBK"/>
                <w:snapToGrid w:val="0"/>
                <w:color w:val="auto"/>
                <w:kern w:val="0"/>
                <w:sz w:val="21"/>
                <w:szCs w:val="21"/>
                <w:highlight w:val="none"/>
                <w:lang w:val="en-US" w:eastAsia="zh-CN" w:bidi="ar-SA"/>
                <w14:ligatures w14:val="standardContextual"/>
              </w:rPr>
            </w:pPr>
            <w:r>
              <w:rPr>
                <w:rFonts w:hint="eastAsia" w:ascii="方正仿宋_GBK" w:hAnsi="方正仿宋_GBK" w:eastAsia="方正仿宋_GBK" w:cs="方正仿宋_GBK"/>
                <w:snapToGrid w:val="0"/>
                <w:color w:val="auto"/>
                <w:kern w:val="0"/>
                <w:sz w:val="21"/>
                <w:szCs w:val="21"/>
                <w:highlight w:val="none"/>
                <w:lang w:val="en-US" w:eastAsia="zh-CN" w:bidi="ar-SA"/>
                <w14:ligatures w14:val="standardContextual"/>
              </w:rPr>
              <w:t>1</w:t>
            </w:r>
          </w:p>
        </w:tc>
        <w:tc>
          <w:tcPr>
            <w:tcW w:w="684" w:type="dxa"/>
            <w:shd w:val="clear" w:color="auto" w:fill="auto"/>
            <w:vAlign w:val="center"/>
          </w:tcPr>
          <w:p w14:paraId="34D3BF3E">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jc w:val="center"/>
              <w:textAlignment w:val="baseline"/>
              <w:rPr>
                <w:rFonts w:hint="eastAsia" w:ascii="方正仿宋_GBK" w:hAnsi="方正仿宋_GBK" w:eastAsia="方正仿宋_GBK" w:cs="方正仿宋_GBK"/>
                <w:snapToGrid w:val="0"/>
                <w:color w:val="auto"/>
                <w:kern w:val="0"/>
                <w:sz w:val="21"/>
                <w:szCs w:val="21"/>
                <w:highlight w:val="none"/>
                <w:lang w:val="en-US" w:eastAsia="zh-CN" w:bidi="ar-SA"/>
                <w14:ligatures w14:val="standardContextual"/>
              </w:rPr>
            </w:pPr>
          </w:p>
        </w:tc>
        <w:tc>
          <w:tcPr>
            <w:tcW w:w="1116" w:type="dxa"/>
            <w:gridSpan w:val="2"/>
            <w:vMerge w:val="continue"/>
            <w:shd w:val="clear" w:color="auto" w:fill="auto"/>
            <w:vAlign w:val="center"/>
          </w:tcPr>
          <w:p w14:paraId="7DC0EC2A">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pPr>
          </w:p>
        </w:tc>
        <w:tc>
          <w:tcPr>
            <w:tcW w:w="7200" w:type="dxa"/>
            <w:shd w:val="clear" w:color="auto" w:fill="auto"/>
            <w:vAlign w:val="center"/>
          </w:tcPr>
          <w:p w14:paraId="2AEC9EC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2.一般工业固体废物管理台账保存年限：</w:t>
            </w:r>
          </w:p>
          <w:p w14:paraId="5C7C43A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（a）一般工业固体废物管理台账保存5年以上。得1分。</w:t>
            </w:r>
          </w:p>
          <w:p w14:paraId="327C402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（b）一般工业固体废物管理台账未保存5年以上。得0分。</w:t>
            </w:r>
          </w:p>
        </w:tc>
        <w:tc>
          <w:tcPr>
            <w:tcW w:w="1059" w:type="dxa"/>
            <w:vMerge w:val="continue"/>
            <w:vAlign w:val="center"/>
          </w:tcPr>
          <w:p w14:paraId="404E47BB">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680" w:type="dxa"/>
            <w:vMerge w:val="continue"/>
            <w:vAlign w:val="center"/>
          </w:tcPr>
          <w:p w14:paraId="71C1ECCE">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r>
      <w:tr w14:paraId="0E015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1630" w:type="dxa"/>
            <w:vMerge w:val="continue"/>
            <w:shd w:val="clear" w:color="auto" w:fill="auto"/>
            <w:vAlign w:val="center"/>
          </w:tcPr>
          <w:p w14:paraId="6061FC63">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058" w:type="dxa"/>
            <w:vMerge w:val="continue"/>
            <w:shd w:val="clear" w:color="auto" w:fill="auto"/>
            <w:vAlign w:val="center"/>
          </w:tcPr>
          <w:p w14:paraId="4C679D8A">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675" w:type="dxa"/>
            <w:shd w:val="clear" w:color="auto" w:fill="auto"/>
            <w:vAlign w:val="center"/>
          </w:tcPr>
          <w:p w14:paraId="339F1CC3">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jc w:val="center"/>
              <w:textAlignment w:val="baseline"/>
              <w:rPr>
                <w:rFonts w:hint="eastAsia" w:ascii="方正仿宋_GBK" w:hAnsi="方正仿宋_GBK" w:eastAsia="方正仿宋_GBK" w:cs="方正仿宋_GBK"/>
                <w:snapToGrid w:val="0"/>
                <w:color w:val="auto"/>
                <w:kern w:val="0"/>
                <w:sz w:val="21"/>
                <w:szCs w:val="21"/>
                <w:highlight w:val="none"/>
                <w:lang w:val="en-US" w:eastAsia="zh-CN" w:bidi="ar-SA"/>
                <w14:ligatures w14:val="standardContextual"/>
              </w:rPr>
            </w:pPr>
            <w:r>
              <w:rPr>
                <w:rFonts w:hint="eastAsia" w:ascii="方正仿宋_GBK" w:hAnsi="方正仿宋_GBK" w:eastAsia="方正仿宋_GBK" w:cs="方正仿宋_GBK"/>
                <w:snapToGrid w:val="0"/>
                <w:color w:val="auto"/>
                <w:kern w:val="0"/>
                <w:sz w:val="21"/>
                <w:szCs w:val="21"/>
                <w:highlight w:val="none"/>
                <w:lang w:val="en-US" w:eastAsia="zh-CN" w:bidi="ar-SA"/>
                <w14:ligatures w14:val="standardContextual"/>
              </w:rPr>
              <w:t>2</w:t>
            </w:r>
          </w:p>
        </w:tc>
        <w:tc>
          <w:tcPr>
            <w:tcW w:w="684" w:type="dxa"/>
            <w:shd w:val="clear" w:color="auto" w:fill="auto"/>
            <w:vAlign w:val="center"/>
          </w:tcPr>
          <w:p w14:paraId="1733E736">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jc w:val="center"/>
              <w:textAlignment w:val="baseline"/>
              <w:rPr>
                <w:rFonts w:hint="eastAsia" w:ascii="方正仿宋_GBK" w:hAnsi="方正仿宋_GBK" w:eastAsia="方正仿宋_GBK" w:cs="方正仿宋_GBK"/>
                <w:snapToGrid w:val="0"/>
                <w:color w:val="auto"/>
                <w:kern w:val="0"/>
                <w:sz w:val="21"/>
                <w:szCs w:val="21"/>
                <w:highlight w:val="none"/>
                <w:lang w:val="en-US" w:eastAsia="zh-CN" w:bidi="ar-SA"/>
                <w14:ligatures w14:val="standardContextual"/>
              </w:rPr>
            </w:pPr>
          </w:p>
        </w:tc>
        <w:tc>
          <w:tcPr>
            <w:tcW w:w="1116" w:type="dxa"/>
            <w:gridSpan w:val="2"/>
            <w:vMerge w:val="continue"/>
            <w:shd w:val="clear" w:color="auto" w:fill="auto"/>
            <w:vAlign w:val="center"/>
          </w:tcPr>
          <w:p w14:paraId="47F01109">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pPr>
          </w:p>
        </w:tc>
        <w:tc>
          <w:tcPr>
            <w:tcW w:w="7200" w:type="dxa"/>
            <w:shd w:val="clear" w:color="auto" w:fill="auto"/>
            <w:vAlign w:val="center"/>
          </w:tcPr>
          <w:p w14:paraId="71CE742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3.</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产生尾矿的单位通过</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“全国固体废物和化学品管理信息系统—尾矿环境管理信息子系统”准确</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填报有关信息。</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得2分。</w:t>
            </w:r>
          </w:p>
          <w:p w14:paraId="0025C09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p w14:paraId="3DDE3792">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t>注</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：非尾矿库产生单位，该项细则不计分。</w:t>
            </w:r>
          </w:p>
        </w:tc>
        <w:tc>
          <w:tcPr>
            <w:tcW w:w="1059" w:type="dxa"/>
            <w:vMerge w:val="continue"/>
            <w:vAlign w:val="center"/>
          </w:tcPr>
          <w:p w14:paraId="228103FE">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680" w:type="dxa"/>
            <w:vMerge w:val="continue"/>
            <w:vAlign w:val="center"/>
          </w:tcPr>
          <w:p w14:paraId="6DA39219">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r>
      <w:tr w14:paraId="49267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7" w:hRule="atLeast"/>
          <w:jc w:val="center"/>
        </w:trPr>
        <w:tc>
          <w:tcPr>
            <w:tcW w:w="1630" w:type="dxa"/>
            <w:vMerge w:val="restart"/>
            <w:shd w:val="clear" w:color="auto" w:fill="auto"/>
            <w:vAlign w:val="center"/>
          </w:tcPr>
          <w:p w14:paraId="2CD82986">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jc w:val="both"/>
              <w:textAlignment w:val="baseline"/>
              <w:rPr>
                <w:rFonts w:hint="eastAsia" w:ascii="方正仿宋_GBK" w:hAnsi="方正仿宋_GBK" w:eastAsia="方正仿宋_GBK" w:cs="方正仿宋_GBK"/>
                <w:snapToGrid w:val="0"/>
                <w:color w:val="auto"/>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五、贮存管理</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《固废法》第五条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第二十条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第三十六条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；第四十条；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《尾矿库污染隐患排查治理工作指南（试行）》</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（生态环境部公告2022年第10号</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tc>
        <w:tc>
          <w:tcPr>
            <w:tcW w:w="1058" w:type="dxa"/>
            <w:vMerge w:val="restart"/>
            <w:shd w:val="clear" w:color="auto" w:fill="auto"/>
            <w:vAlign w:val="center"/>
          </w:tcPr>
          <w:p w14:paraId="4BBD011F">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5.产生、贮存、运输、利用处置</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一般工业固体废物</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的单位，必须采取防扬散、防流失、防渗漏或者其他防止污染环境的措施</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w:t>
            </w:r>
          </w:p>
        </w:tc>
        <w:tc>
          <w:tcPr>
            <w:tcW w:w="675" w:type="dxa"/>
            <w:vAlign w:val="center"/>
          </w:tcPr>
          <w:p w14:paraId="7E0BCF9A">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2</w:t>
            </w:r>
          </w:p>
        </w:tc>
        <w:tc>
          <w:tcPr>
            <w:tcW w:w="684" w:type="dxa"/>
            <w:shd w:val="clear" w:color="auto" w:fill="auto"/>
            <w:vAlign w:val="center"/>
          </w:tcPr>
          <w:p w14:paraId="1AE0688D">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1116" w:type="dxa"/>
            <w:gridSpan w:val="2"/>
            <w:vMerge w:val="restart"/>
            <w:shd w:val="clear" w:color="auto" w:fill="auto"/>
            <w:vAlign w:val="center"/>
          </w:tcPr>
          <w:p w14:paraId="17B4BCE9">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en-US"/>
                <w14:ligatures w14:val="none"/>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产生单位按规定建设一般工业固体废物贮存设施，并规范贮存一般工业固体废物。同时，产生尾矿库的单位按规范开展</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污染隐患</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排查治理。</w:t>
            </w:r>
          </w:p>
        </w:tc>
        <w:tc>
          <w:tcPr>
            <w:tcW w:w="7200" w:type="dxa"/>
            <w:shd w:val="clear" w:color="auto" w:fill="auto"/>
            <w:vAlign w:val="center"/>
          </w:tcPr>
          <w:p w14:paraId="528C1816">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snapToGrid w:val="0"/>
                <w:color w:val="auto"/>
                <w:spacing w:val="-5"/>
                <w:kern w:val="0"/>
                <w:sz w:val="21"/>
                <w:szCs w:val="21"/>
                <w:highlight w:val="none"/>
                <w:lang w:val="en-US" w:eastAsia="zh-CN"/>
              </w:rPr>
            </w:pPr>
            <w:r>
              <w:rPr>
                <w:rFonts w:hint="eastAsia" w:ascii="方正仿宋_GBK" w:hAnsi="方正仿宋_GBK" w:eastAsia="方正仿宋_GBK" w:cs="方正仿宋_GBK"/>
                <w:snapToGrid w:val="0"/>
                <w:color w:val="auto"/>
                <w:spacing w:val="-5"/>
                <w:kern w:val="0"/>
                <w:sz w:val="21"/>
                <w:szCs w:val="21"/>
                <w:highlight w:val="none"/>
              </w:rPr>
              <w:t>1.</w:t>
            </w:r>
            <w:r>
              <w:rPr>
                <w:rFonts w:hint="eastAsia" w:ascii="方正仿宋_GBK" w:hAnsi="方正仿宋_GBK" w:eastAsia="方正仿宋_GBK" w:cs="方正仿宋_GBK"/>
                <w:snapToGrid w:val="0"/>
                <w:color w:val="auto"/>
                <w:spacing w:val="-5"/>
                <w:kern w:val="0"/>
                <w:sz w:val="21"/>
                <w:szCs w:val="21"/>
                <w:highlight w:val="none"/>
                <w:lang w:val="en-US" w:eastAsia="zh-CN"/>
              </w:rPr>
              <w:t>建设</w:t>
            </w:r>
            <w:r>
              <w:rPr>
                <w:rFonts w:hint="eastAsia" w:ascii="方正仿宋_GBK" w:hAnsi="方正仿宋_GBK" w:eastAsia="方正仿宋_GBK" w:cs="方正仿宋_GBK"/>
                <w:snapToGrid w:val="0"/>
                <w:color w:val="auto"/>
                <w:spacing w:val="-5"/>
                <w:kern w:val="0"/>
                <w:sz w:val="21"/>
                <w:szCs w:val="21"/>
                <w:highlight w:val="none"/>
              </w:rPr>
              <w:t>一般工业固体废物贮存</w:t>
            </w:r>
            <w:r>
              <w:rPr>
                <w:rFonts w:hint="eastAsia" w:ascii="方正仿宋_GBK" w:hAnsi="方正仿宋_GBK" w:eastAsia="方正仿宋_GBK" w:cs="方正仿宋_GBK"/>
                <w:snapToGrid w:val="0"/>
                <w:color w:val="auto"/>
                <w:spacing w:val="-5"/>
                <w:kern w:val="0"/>
                <w:sz w:val="21"/>
                <w:szCs w:val="21"/>
                <w:highlight w:val="none"/>
                <w:lang w:val="en-US" w:eastAsia="zh-CN"/>
              </w:rPr>
              <w:t>场和填埋场的</w:t>
            </w:r>
            <w:r>
              <w:rPr>
                <w:rFonts w:hint="eastAsia" w:ascii="方正仿宋_GBK" w:hAnsi="方正仿宋_GBK" w:eastAsia="方正仿宋_GBK" w:cs="方正仿宋_GBK"/>
                <w:snapToGrid w:val="0"/>
                <w:color w:val="auto"/>
                <w:spacing w:val="-5"/>
                <w:kern w:val="0"/>
                <w:sz w:val="21"/>
                <w:szCs w:val="21"/>
                <w:highlight w:val="none"/>
              </w:rPr>
              <w:t>单位</w:t>
            </w:r>
            <w:r>
              <w:rPr>
                <w:rFonts w:hint="eastAsia" w:ascii="方正仿宋_GBK" w:hAnsi="方正仿宋_GBK" w:eastAsia="方正仿宋_GBK" w:cs="方正仿宋_GBK"/>
                <w:snapToGrid w:val="0"/>
                <w:color w:val="auto"/>
                <w:spacing w:val="-5"/>
                <w:kern w:val="0"/>
                <w:sz w:val="21"/>
                <w:szCs w:val="21"/>
                <w:highlight w:val="none"/>
                <w:lang w:eastAsia="zh-CN"/>
              </w:rPr>
              <w:t>，</w:t>
            </w:r>
            <w:r>
              <w:rPr>
                <w:rFonts w:hint="eastAsia" w:ascii="方正仿宋_GBK" w:hAnsi="方正仿宋_GBK" w:eastAsia="方正仿宋_GBK" w:cs="方正仿宋_GBK"/>
                <w:snapToGrid w:val="0"/>
                <w:color w:val="auto"/>
                <w:spacing w:val="-5"/>
                <w:kern w:val="0"/>
                <w:sz w:val="21"/>
                <w:szCs w:val="21"/>
                <w:highlight w:val="none"/>
              </w:rPr>
              <w:t>应当执行GB</w:t>
            </w:r>
            <w:r>
              <w:rPr>
                <w:rFonts w:hint="eastAsia" w:ascii="方正仿宋_GBK" w:hAnsi="方正仿宋_GBK" w:eastAsia="方正仿宋_GBK" w:cs="方正仿宋_GBK"/>
                <w:snapToGrid w:val="0"/>
                <w:color w:val="auto"/>
                <w:spacing w:val="-5"/>
                <w:kern w:val="0"/>
                <w:sz w:val="21"/>
                <w:szCs w:val="21"/>
                <w:highlight w:val="none"/>
                <w:lang w:val="en-US" w:eastAsia="zh-CN"/>
              </w:rPr>
              <w:t xml:space="preserve"> </w:t>
            </w:r>
            <w:r>
              <w:rPr>
                <w:rFonts w:hint="eastAsia" w:ascii="方正仿宋_GBK" w:hAnsi="方正仿宋_GBK" w:eastAsia="方正仿宋_GBK" w:cs="方正仿宋_GBK"/>
                <w:snapToGrid w:val="0"/>
                <w:color w:val="auto"/>
                <w:spacing w:val="-5"/>
                <w:kern w:val="0"/>
                <w:sz w:val="21"/>
                <w:szCs w:val="21"/>
                <w:highlight w:val="none"/>
              </w:rPr>
              <w:t>18599等有关标准规范要求。</w:t>
            </w:r>
            <w:r>
              <w:rPr>
                <w:rFonts w:hint="eastAsia" w:ascii="方正仿宋_GBK" w:hAnsi="方正仿宋_GBK" w:eastAsia="方正仿宋_GBK" w:cs="方正仿宋_GBK"/>
                <w:snapToGrid w:val="0"/>
                <w:color w:val="auto"/>
                <w:spacing w:val="-5"/>
                <w:kern w:val="0"/>
                <w:sz w:val="21"/>
                <w:szCs w:val="21"/>
                <w:highlight w:val="none"/>
                <w:lang w:val="en-US" w:eastAsia="zh-CN"/>
              </w:rPr>
              <w:t>得2分。</w:t>
            </w:r>
          </w:p>
          <w:p w14:paraId="22D9BFD4">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p w14:paraId="7D64747F">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t>注：</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无</w:t>
            </w:r>
            <w:r>
              <w:rPr>
                <w:rFonts w:hint="eastAsia" w:ascii="方正仿宋_GBK" w:hAnsi="方正仿宋_GBK" w:eastAsia="方正仿宋_GBK" w:cs="方正仿宋_GBK"/>
                <w:snapToGrid w:val="0"/>
                <w:color w:val="auto"/>
                <w:spacing w:val="-5"/>
                <w:kern w:val="0"/>
                <w:sz w:val="21"/>
                <w:szCs w:val="21"/>
                <w:highlight w:val="none"/>
              </w:rPr>
              <w:t>一般工业固体废物贮存</w:t>
            </w:r>
            <w:r>
              <w:rPr>
                <w:rFonts w:hint="eastAsia" w:ascii="方正仿宋_GBK" w:hAnsi="方正仿宋_GBK" w:eastAsia="方正仿宋_GBK" w:cs="方正仿宋_GBK"/>
                <w:snapToGrid w:val="0"/>
                <w:color w:val="auto"/>
                <w:spacing w:val="-5"/>
                <w:kern w:val="0"/>
                <w:sz w:val="21"/>
                <w:szCs w:val="21"/>
                <w:highlight w:val="none"/>
                <w:lang w:val="en-US" w:eastAsia="zh-CN"/>
              </w:rPr>
              <w:t>场和填埋场的单位，该项不计分。</w:t>
            </w:r>
          </w:p>
        </w:tc>
        <w:tc>
          <w:tcPr>
            <w:tcW w:w="1059" w:type="dxa"/>
            <w:vAlign w:val="center"/>
          </w:tcPr>
          <w:p w14:paraId="709AD03F">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en-US"/>
                <w14:ligatures w14:val="none"/>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现场核查及资料检查（核查验收报告等材料）</w:t>
            </w:r>
          </w:p>
        </w:tc>
        <w:tc>
          <w:tcPr>
            <w:tcW w:w="680" w:type="dxa"/>
            <w:vAlign w:val="center"/>
          </w:tcPr>
          <w:p w14:paraId="71C1ED9F">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r>
      <w:tr w14:paraId="07DB8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5" w:hRule="atLeast"/>
          <w:jc w:val="center"/>
        </w:trPr>
        <w:tc>
          <w:tcPr>
            <w:tcW w:w="1630" w:type="dxa"/>
            <w:vMerge w:val="continue"/>
            <w:shd w:val="clear" w:color="auto" w:fill="auto"/>
            <w:vAlign w:val="center"/>
          </w:tcPr>
          <w:p w14:paraId="14065C2A">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058" w:type="dxa"/>
            <w:vMerge w:val="continue"/>
            <w:shd w:val="clear" w:color="auto" w:fill="auto"/>
            <w:vAlign w:val="center"/>
          </w:tcPr>
          <w:p w14:paraId="3142A009">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p>
        </w:tc>
        <w:tc>
          <w:tcPr>
            <w:tcW w:w="675" w:type="dxa"/>
            <w:vAlign w:val="center"/>
          </w:tcPr>
          <w:p w14:paraId="14463595">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10</w:t>
            </w:r>
          </w:p>
        </w:tc>
        <w:tc>
          <w:tcPr>
            <w:tcW w:w="684" w:type="dxa"/>
            <w:shd w:val="clear" w:color="auto" w:fill="auto"/>
            <w:vAlign w:val="center"/>
          </w:tcPr>
          <w:p w14:paraId="7B1E4323">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1116" w:type="dxa"/>
            <w:gridSpan w:val="2"/>
            <w:vMerge w:val="continue"/>
            <w:shd w:val="clear" w:color="auto" w:fill="auto"/>
            <w:vAlign w:val="center"/>
          </w:tcPr>
          <w:p w14:paraId="2CB0FCC9">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7200" w:type="dxa"/>
            <w:shd w:val="clear" w:color="auto" w:fill="auto"/>
            <w:vAlign w:val="center"/>
          </w:tcPr>
          <w:p w14:paraId="1718A18F">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2.</w:t>
            </w:r>
            <w:r>
              <w:rPr>
                <w:rFonts w:hint="eastAsia" w:ascii="方正仿宋_GBK" w:hAnsi="方正仿宋_GBK" w:eastAsia="方正仿宋_GBK" w:cs="方正仿宋_GBK"/>
                <w:snapToGrid w:val="0"/>
                <w:color w:val="auto"/>
                <w:spacing w:val="-5"/>
                <w:kern w:val="0"/>
                <w:sz w:val="21"/>
                <w:szCs w:val="21"/>
                <w:highlight w:val="none"/>
              </w:rPr>
              <w:t>采用库房、包装工具（罐、桶、包装袋等）贮存一般工业固体废物</w:t>
            </w:r>
            <w:r>
              <w:rPr>
                <w:rFonts w:hint="eastAsia" w:ascii="方正仿宋_GBK" w:hAnsi="方正仿宋_GBK" w:eastAsia="方正仿宋_GBK" w:cs="方正仿宋_GBK"/>
                <w:snapToGrid w:val="0"/>
                <w:color w:val="auto"/>
                <w:spacing w:val="-5"/>
                <w:kern w:val="0"/>
                <w:sz w:val="21"/>
                <w:szCs w:val="21"/>
                <w:highlight w:val="none"/>
                <w:lang w:val="en-US" w:eastAsia="zh-CN"/>
              </w:rPr>
              <w:t>的</w:t>
            </w:r>
            <w:r>
              <w:rPr>
                <w:rFonts w:hint="eastAsia" w:ascii="方正仿宋_GBK" w:hAnsi="方正仿宋_GBK" w:eastAsia="方正仿宋_GBK" w:cs="方正仿宋_GBK"/>
                <w:snapToGrid w:val="0"/>
                <w:color w:val="auto"/>
                <w:spacing w:val="-5"/>
                <w:kern w:val="0"/>
                <w:sz w:val="21"/>
                <w:szCs w:val="21"/>
                <w:highlight w:val="none"/>
              </w:rPr>
              <w:t>，其贮存过程应当设置一般工业固体废物贮存库，</w:t>
            </w:r>
            <w:r>
              <w:rPr>
                <w:rFonts w:hint="eastAsia" w:ascii="方正仿宋_GBK" w:hAnsi="方正仿宋_GBK" w:eastAsia="方正仿宋_GBK" w:cs="方正仿宋_GBK"/>
                <w:snapToGrid w:val="0"/>
                <w:color w:val="auto"/>
                <w:spacing w:val="-5"/>
                <w:kern w:val="0"/>
                <w:sz w:val="21"/>
                <w:szCs w:val="21"/>
                <w:highlight w:val="none"/>
                <w:lang w:val="en-US" w:eastAsia="zh-CN"/>
              </w:rPr>
              <w:t>应</w:t>
            </w:r>
            <w:r>
              <w:rPr>
                <w:rFonts w:hint="eastAsia" w:ascii="方正仿宋_GBK" w:hAnsi="方正仿宋_GBK" w:eastAsia="方正仿宋_GBK" w:cs="方正仿宋_GBK"/>
                <w:snapToGrid w:val="0"/>
                <w:color w:val="auto"/>
                <w:spacing w:val="-5"/>
                <w:kern w:val="0"/>
                <w:sz w:val="21"/>
                <w:szCs w:val="21"/>
                <w:highlight w:val="none"/>
              </w:rPr>
              <w:t>满足</w:t>
            </w:r>
            <w:r>
              <w:rPr>
                <w:rFonts w:hint="eastAsia" w:ascii="方正仿宋_GBK" w:hAnsi="方正仿宋_GBK" w:eastAsia="方正仿宋_GBK" w:cs="方正仿宋_GBK"/>
                <w:snapToGrid w:val="0"/>
                <w:color w:val="auto"/>
                <w:spacing w:val="-5"/>
                <w:kern w:val="0"/>
                <w:sz w:val="21"/>
                <w:szCs w:val="21"/>
                <w:highlight w:val="none"/>
                <w:lang w:eastAsia="zh-CN"/>
              </w:rPr>
              <w:t>：</w:t>
            </w:r>
          </w:p>
          <w:p w14:paraId="6D4E7956">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（a）第Ⅱ类一般工业固体废物贮存库做防渗及地面硬化处理；</w:t>
            </w:r>
          </w:p>
          <w:p w14:paraId="0BEAF244">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（b）贮存库设雨棚、围堰或围墙等防雨淋、防扬尘措施；</w:t>
            </w:r>
          </w:p>
          <w:p w14:paraId="4380114B">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（c）贮存库设置废水导排管道或渠道；</w:t>
            </w:r>
          </w:p>
          <w:p w14:paraId="7DF27C5E">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（d）运输车辆采取防尘、防撒落措施；</w:t>
            </w:r>
          </w:p>
          <w:p w14:paraId="4168B405">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（e）贮存库内一般工业固体废物分类分区贮存，且未混入生活垃圾。</w:t>
            </w:r>
          </w:p>
          <w:p w14:paraId="72E8CE03">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以上每项符合得2分。</w:t>
            </w:r>
          </w:p>
        </w:tc>
        <w:tc>
          <w:tcPr>
            <w:tcW w:w="1059" w:type="dxa"/>
            <w:vAlign w:val="center"/>
          </w:tcPr>
          <w:p w14:paraId="41AFE54D">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现场核查</w:t>
            </w:r>
          </w:p>
        </w:tc>
        <w:tc>
          <w:tcPr>
            <w:tcW w:w="680" w:type="dxa"/>
            <w:vAlign w:val="center"/>
          </w:tcPr>
          <w:p w14:paraId="32FA7720">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r>
      <w:tr w14:paraId="4DE33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30" w:type="dxa"/>
            <w:vMerge w:val="continue"/>
            <w:shd w:val="clear" w:color="auto" w:fill="auto"/>
            <w:vAlign w:val="center"/>
          </w:tcPr>
          <w:p w14:paraId="7E2E2D56">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058" w:type="dxa"/>
            <w:vMerge w:val="continue"/>
            <w:shd w:val="clear" w:color="auto" w:fill="auto"/>
            <w:vAlign w:val="center"/>
          </w:tcPr>
          <w:p w14:paraId="54BCEC7B">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p>
        </w:tc>
        <w:tc>
          <w:tcPr>
            <w:tcW w:w="675" w:type="dxa"/>
            <w:vAlign w:val="center"/>
          </w:tcPr>
          <w:p w14:paraId="324CFCCF">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1</w:t>
            </w:r>
          </w:p>
        </w:tc>
        <w:tc>
          <w:tcPr>
            <w:tcW w:w="684" w:type="dxa"/>
            <w:shd w:val="clear" w:color="auto" w:fill="auto"/>
            <w:vAlign w:val="center"/>
          </w:tcPr>
          <w:p w14:paraId="604E3480">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1116" w:type="dxa"/>
            <w:gridSpan w:val="2"/>
            <w:vMerge w:val="continue"/>
            <w:shd w:val="clear" w:color="auto" w:fill="auto"/>
            <w:vAlign w:val="center"/>
          </w:tcPr>
          <w:p w14:paraId="2AAA1A1F">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7200" w:type="dxa"/>
            <w:shd w:val="clear" w:color="auto" w:fill="auto"/>
            <w:vAlign w:val="center"/>
          </w:tcPr>
          <w:p w14:paraId="7704FC66">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3.贮存场所显著位置张贴符合</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GB</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 xml:space="preserve"> </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15562.2</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的环境保护图形标志，且准确注明贮存场编号，固废名称、种类和代码等信息。得1分。</w:t>
            </w:r>
          </w:p>
        </w:tc>
        <w:tc>
          <w:tcPr>
            <w:tcW w:w="1059" w:type="dxa"/>
            <w:vAlign w:val="center"/>
          </w:tcPr>
          <w:p w14:paraId="142A019E">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现场核查</w:t>
            </w:r>
          </w:p>
        </w:tc>
        <w:tc>
          <w:tcPr>
            <w:tcW w:w="680" w:type="dxa"/>
            <w:vAlign w:val="center"/>
          </w:tcPr>
          <w:p w14:paraId="44C048ED">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r>
      <w:tr w14:paraId="4AA4B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8" w:hRule="atLeast"/>
          <w:jc w:val="center"/>
        </w:trPr>
        <w:tc>
          <w:tcPr>
            <w:tcW w:w="1630" w:type="dxa"/>
            <w:vMerge w:val="continue"/>
            <w:shd w:val="clear" w:color="auto" w:fill="auto"/>
            <w:vAlign w:val="center"/>
          </w:tcPr>
          <w:p w14:paraId="2B7B637D">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058" w:type="dxa"/>
            <w:vMerge w:val="continue"/>
            <w:shd w:val="clear" w:color="auto" w:fill="auto"/>
            <w:vAlign w:val="center"/>
          </w:tcPr>
          <w:p w14:paraId="6F262948">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p>
        </w:tc>
        <w:tc>
          <w:tcPr>
            <w:tcW w:w="675" w:type="dxa"/>
            <w:vAlign w:val="center"/>
          </w:tcPr>
          <w:p w14:paraId="3F646376">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2</w:t>
            </w:r>
          </w:p>
        </w:tc>
        <w:tc>
          <w:tcPr>
            <w:tcW w:w="684" w:type="dxa"/>
            <w:shd w:val="clear" w:color="auto" w:fill="auto"/>
            <w:vAlign w:val="center"/>
          </w:tcPr>
          <w:p w14:paraId="31F035D3">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1116" w:type="dxa"/>
            <w:gridSpan w:val="2"/>
            <w:vMerge w:val="continue"/>
            <w:shd w:val="clear" w:color="auto" w:fill="auto"/>
            <w:vAlign w:val="center"/>
          </w:tcPr>
          <w:p w14:paraId="20094F10">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7200" w:type="dxa"/>
            <w:shd w:val="clear" w:color="auto" w:fill="auto"/>
            <w:vAlign w:val="center"/>
          </w:tcPr>
          <w:p w14:paraId="35200BF3">
            <w:pPr>
              <w:keepNext w:val="0"/>
              <w:keepLines w:val="0"/>
              <w:pageBreakBefore w:val="0"/>
              <w:widowControl/>
              <w:numPr>
                <w:ilvl w:val="-1"/>
                <w:numId w:val="0"/>
              </w:numPr>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3.</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尾矿库建立污染隐患排查治理制度，</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且</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在每年汛期前至少开展一次全面排查治理。</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得2分。</w:t>
            </w:r>
          </w:p>
          <w:p w14:paraId="0EDC9F66">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p w14:paraId="01135006">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t>注</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：非尾矿库产生单位，该项细则不计分。</w:t>
            </w:r>
          </w:p>
        </w:tc>
        <w:tc>
          <w:tcPr>
            <w:tcW w:w="1059" w:type="dxa"/>
            <w:vAlign w:val="center"/>
          </w:tcPr>
          <w:p w14:paraId="7CD005B9">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资料检查（查看制度文件及排查治理资料）</w:t>
            </w:r>
          </w:p>
        </w:tc>
        <w:tc>
          <w:tcPr>
            <w:tcW w:w="680" w:type="dxa"/>
            <w:vAlign w:val="center"/>
          </w:tcPr>
          <w:p w14:paraId="20859995">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r>
      <w:tr w14:paraId="047CD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6" w:hRule="atLeast"/>
          <w:jc w:val="center"/>
        </w:trPr>
        <w:tc>
          <w:tcPr>
            <w:tcW w:w="1630" w:type="dxa"/>
            <w:vMerge w:val="restart"/>
            <w:shd w:val="clear" w:color="auto" w:fill="auto"/>
            <w:vAlign w:val="center"/>
          </w:tcPr>
          <w:p w14:paraId="250A479A">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六、利用处置管理</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《固废法》第五条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、第</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四十条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tc>
        <w:tc>
          <w:tcPr>
            <w:tcW w:w="1058" w:type="dxa"/>
            <w:vMerge w:val="restart"/>
            <w:shd w:val="clear" w:color="auto" w:fill="auto"/>
            <w:vAlign w:val="center"/>
          </w:tcPr>
          <w:p w14:paraId="231F9512">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6.</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产废单位依</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照自身</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经济、技术条件</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综合利用一般工业固体废物</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w:t>
            </w:r>
          </w:p>
        </w:tc>
        <w:tc>
          <w:tcPr>
            <w:tcW w:w="675" w:type="dxa"/>
            <w:vAlign w:val="center"/>
          </w:tcPr>
          <w:p w14:paraId="06513BFA">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6</w:t>
            </w:r>
          </w:p>
        </w:tc>
        <w:tc>
          <w:tcPr>
            <w:tcW w:w="684" w:type="dxa"/>
            <w:shd w:val="clear" w:color="auto" w:fill="auto"/>
            <w:vAlign w:val="center"/>
          </w:tcPr>
          <w:p w14:paraId="228654D1">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c>
          <w:tcPr>
            <w:tcW w:w="1116" w:type="dxa"/>
            <w:gridSpan w:val="2"/>
            <w:vMerge w:val="restart"/>
            <w:shd w:val="clear" w:color="auto" w:fill="auto"/>
            <w:vAlign w:val="center"/>
          </w:tcPr>
          <w:p w14:paraId="28B6278A">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产废单位</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对一般工业固体废物进行资源化利用的，其产品应符合《固体废物鉴别标准 通则》的相关要求；进行无害化处置的，其运行符合相关标准规范。相关利用处置设施建设应依法进行环境影响评价，并完成“三同时”验收。</w:t>
            </w:r>
          </w:p>
        </w:tc>
        <w:tc>
          <w:tcPr>
            <w:tcW w:w="7200" w:type="dxa"/>
            <w:shd w:val="clear" w:color="auto" w:fill="auto"/>
            <w:vAlign w:val="center"/>
          </w:tcPr>
          <w:p w14:paraId="0D007B0E">
            <w:pPr>
              <w:keepNext w:val="0"/>
              <w:keepLines w:val="0"/>
              <w:widowControl/>
              <w:numPr>
                <w:ilvl w:val="0"/>
                <w:numId w:val="0"/>
              </w:numPr>
              <w:suppressLineNumbers w:val="0"/>
              <w:kinsoku/>
              <w:autoSpaceDE w:val="0"/>
              <w:autoSpaceDN w:val="0"/>
              <w:adjustRightInd w:val="0"/>
              <w:snapToGrid w:val="0"/>
              <w:jc w:val="both"/>
              <w:textAlignment w:val="baseline"/>
              <w:rPr>
                <w:rFonts w:hint="eastAsia" w:ascii="方正仿宋_GBK" w:hAnsi="方正仿宋_GBK" w:eastAsia="方正仿宋_GBK" w:cs="方正仿宋_GBK"/>
                <w:snapToGrid w:val="0"/>
                <w:color w:val="auto"/>
                <w:spacing w:val="-5"/>
                <w:kern w:val="0"/>
                <w:sz w:val="21"/>
                <w:szCs w:val="21"/>
                <w:highlight w:val="none"/>
                <w:lang w:eastAsia="en-US"/>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1</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一般工业固体废物资源化利用产物</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满足以下条件之一的，得6分：</w:t>
            </w:r>
          </w:p>
          <w:p w14:paraId="172FC1DF">
            <w:pPr>
              <w:keepNext w:val="0"/>
              <w:keepLines w:val="0"/>
              <w:widowControl/>
              <w:numPr>
                <w:ilvl w:val="0"/>
                <w:numId w:val="0"/>
              </w:numPr>
              <w:suppressLineNumbers w:val="0"/>
              <w:kinsoku/>
              <w:autoSpaceDE w:val="0"/>
              <w:autoSpaceDN w:val="0"/>
              <w:adjustRightInd w:val="0"/>
              <w:snapToGrid w:val="0"/>
              <w:jc w:val="both"/>
              <w:textAlignment w:val="baseline"/>
              <w:rPr>
                <w:rFonts w:hint="eastAsia" w:ascii="方正仿宋_GBK" w:hAnsi="方正仿宋_GBK" w:eastAsia="方正仿宋_GBK" w:cs="方正仿宋_GBK"/>
                <w:snapToGrid w:val="0"/>
                <w:color w:val="auto"/>
                <w:spacing w:val="-5"/>
                <w:kern w:val="0"/>
                <w:sz w:val="21"/>
                <w:szCs w:val="21"/>
                <w:highlight w:val="none"/>
                <w:lang w:eastAsia="en-US"/>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（a）一般工业固体</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废物资源化产物生产过程中排放到环境中的有害物质限值和该产物中有害物质的含量限值，符合国家相关污染物排放（控制）标准或技术规范要求，并提供证明材料。</w:t>
            </w:r>
          </w:p>
          <w:p w14:paraId="5DEF9450">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（b）</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当没有国家污染控制标准或技术规范时，</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一般工业固体</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废物资源化产物中所含有害成分含量不高于利用被替代原料生产的产品中的有害成分含量，并且在该产物生产过程中，排放到环境中的有害物质浓度不高于利用所替代原料生产产品过程中排放到环境中的有害物质浓度，并提供证明材料。</w:t>
            </w:r>
          </w:p>
          <w:p w14:paraId="6C260A5A">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pPr>
          </w:p>
          <w:p w14:paraId="5A7B0687">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t>注：</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本项适用于建设有一般工业固体废物资源化利用设施，且该设施正常运行的所有企业。无一般工业固体废物资源化利用的，该项不计分。</w:t>
            </w:r>
          </w:p>
        </w:tc>
        <w:tc>
          <w:tcPr>
            <w:tcW w:w="1059" w:type="dxa"/>
            <w:vMerge w:val="restart"/>
            <w:vAlign w:val="center"/>
          </w:tcPr>
          <w:p w14:paraId="5BB7A50A">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资料检查（查看设施验收报告、自行监测及相关检测报告等）</w:t>
            </w:r>
          </w:p>
        </w:tc>
        <w:tc>
          <w:tcPr>
            <w:tcW w:w="680" w:type="dxa"/>
            <w:vMerge w:val="restart"/>
            <w:vAlign w:val="center"/>
          </w:tcPr>
          <w:p w14:paraId="4AEA772C">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r>
      <w:tr w14:paraId="5E6CB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4" w:hRule="atLeast"/>
          <w:jc w:val="center"/>
        </w:trPr>
        <w:tc>
          <w:tcPr>
            <w:tcW w:w="1630" w:type="dxa"/>
            <w:vMerge w:val="continue"/>
            <w:shd w:val="clear" w:color="auto" w:fill="auto"/>
            <w:vAlign w:val="center"/>
          </w:tcPr>
          <w:p w14:paraId="4FC0C45F">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058" w:type="dxa"/>
            <w:vMerge w:val="continue"/>
            <w:shd w:val="clear" w:color="auto" w:fill="auto"/>
            <w:vAlign w:val="center"/>
          </w:tcPr>
          <w:p w14:paraId="103DC33F">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c>
          <w:tcPr>
            <w:tcW w:w="675" w:type="dxa"/>
            <w:vAlign w:val="center"/>
          </w:tcPr>
          <w:p w14:paraId="5A31DFFC">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6</w:t>
            </w:r>
          </w:p>
        </w:tc>
        <w:tc>
          <w:tcPr>
            <w:tcW w:w="684" w:type="dxa"/>
            <w:shd w:val="clear" w:color="auto" w:fill="auto"/>
            <w:vAlign w:val="center"/>
          </w:tcPr>
          <w:p w14:paraId="5A244B6C">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c>
          <w:tcPr>
            <w:tcW w:w="1116" w:type="dxa"/>
            <w:gridSpan w:val="2"/>
            <w:vMerge w:val="continue"/>
            <w:shd w:val="clear" w:color="auto" w:fill="auto"/>
            <w:vAlign w:val="center"/>
          </w:tcPr>
          <w:p w14:paraId="5575155E">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7200" w:type="dxa"/>
            <w:shd w:val="clear" w:color="auto" w:fill="auto"/>
            <w:vAlign w:val="center"/>
          </w:tcPr>
          <w:p w14:paraId="153DD0F0">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2.</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以焚烧、填埋、水泥窑等方式自行处置</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一般工业固体</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废物的运行要求符合国家和地方相关标准规范（如</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《一般工业固体废物贮存和填埋污染控制标准》（GB 18599）、《生活垃圾焚烧污染控制标准》（GB 18485）、《水泥窑协同处置固体废物污染控制标准》（GB 30485）</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等）</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得6分。根据实际情况，酌情打分。</w:t>
            </w:r>
          </w:p>
          <w:p w14:paraId="70C2EF53">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p w14:paraId="01D23433">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t>注：</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本项适用于建设有一般工业固体废物无害化处置设施，且该设施正常运行的所有企业。无一般工业固体废物无害化处置的，该项不计分。</w:t>
            </w:r>
          </w:p>
        </w:tc>
        <w:tc>
          <w:tcPr>
            <w:tcW w:w="1059" w:type="dxa"/>
            <w:vMerge w:val="continue"/>
            <w:vAlign w:val="center"/>
          </w:tcPr>
          <w:p w14:paraId="2FDF84A4">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680" w:type="dxa"/>
            <w:vMerge w:val="continue"/>
            <w:vAlign w:val="center"/>
          </w:tcPr>
          <w:p w14:paraId="2A80A990">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r>
      <w:tr w14:paraId="22DF0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8" w:hRule="atLeast"/>
          <w:jc w:val="center"/>
        </w:trPr>
        <w:tc>
          <w:tcPr>
            <w:tcW w:w="1630" w:type="dxa"/>
            <w:vMerge w:val="continue"/>
            <w:shd w:val="clear" w:color="auto" w:fill="auto"/>
            <w:vAlign w:val="center"/>
          </w:tcPr>
          <w:p w14:paraId="66D3A6DE">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058" w:type="dxa"/>
            <w:vMerge w:val="continue"/>
            <w:shd w:val="clear" w:color="auto" w:fill="auto"/>
            <w:vAlign w:val="center"/>
          </w:tcPr>
          <w:p w14:paraId="4AD08231">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c>
          <w:tcPr>
            <w:tcW w:w="675" w:type="dxa"/>
            <w:vAlign w:val="center"/>
          </w:tcPr>
          <w:p w14:paraId="2E70C6A7">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4</w:t>
            </w:r>
          </w:p>
        </w:tc>
        <w:tc>
          <w:tcPr>
            <w:tcW w:w="684" w:type="dxa"/>
            <w:shd w:val="clear" w:color="auto" w:fill="auto"/>
            <w:vAlign w:val="center"/>
          </w:tcPr>
          <w:p w14:paraId="13247532">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c>
          <w:tcPr>
            <w:tcW w:w="1116" w:type="dxa"/>
            <w:gridSpan w:val="2"/>
            <w:vMerge w:val="continue"/>
            <w:shd w:val="clear" w:color="auto" w:fill="auto"/>
            <w:vAlign w:val="center"/>
          </w:tcPr>
          <w:p w14:paraId="633E64F5">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7200" w:type="dxa"/>
            <w:shd w:val="clear" w:color="auto" w:fill="auto"/>
            <w:vAlign w:val="center"/>
          </w:tcPr>
          <w:p w14:paraId="0B3A6A52">
            <w:pPr>
              <w:keepNext w:val="0"/>
              <w:keepLines w:val="0"/>
              <w:widowControl/>
              <w:numPr>
                <w:ilvl w:val="0"/>
                <w:numId w:val="0"/>
              </w:numPr>
              <w:suppressLineNumbers w:val="0"/>
              <w:kinsoku/>
              <w:autoSpaceDE w:val="0"/>
              <w:autoSpaceDN w:val="0"/>
              <w:adjustRightInd w:val="0"/>
              <w:snapToGrid w:val="0"/>
              <w:jc w:val="both"/>
              <w:textAlignment w:val="baseline"/>
              <w:rPr>
                <w:rFonts w:hint="eastAsia" w:ascii="方正仿宋_GBK" w:hAnsi="方正仿宋_GBK" w:eastAsia="方正仿宋_GBK" w:cs="方正仿宋_GBK"/>
                <w:snapToGrid w:val="0"/>
                <w:color w:val="auto"/>
                <w:spacing w:val="-5"/>
                <w:kern w:val="0"/>
                <w:sz w:val="21"/>
                <w:szCs w:val="21"/>
                <w:highlight w:val="none"/>
                <w:lang w:eastAsia="en-US"/>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4</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（a）</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按照有关法律和排污单位自行监测技术指南等规定，建立企业监测制度，制定监测方案，且近一年内按照监测方案要求的监测点位、监测指标和监测频次对自行</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利用、</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处置设施污染物排放情况进行了监测，有环境监测报告，并且污染物排放符合执行标准。得</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4</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分。</w:t>
            </w:r>
          </w:p>
          <w:p w14:paraId="42039A7D">
            <w:pPr>
              <w:keepNext w:val="0"/>
              <w:keepLines w:val="0"/>
              <w:widowControl/>
              <w:numPr>
                <w:ilvl w:val="0"/>
                <w:numId w:val="0"/>
              </w:numPr>
              <w:suppressLineNumbers w:val="0"/>
              <w:kinsoku/>
              <w:autoSpaceDE w:val="0"/>
              <w:autoSpaceDN w:val="0"/>
              <w:adjustRightInd w:val="0"/>
              <w:snapToGrid w:val="0"/>
              <w:jc w:val="both"/>
              <w:textAlignment w:val="baseline"/>
              <w:rPr>
                <w:rFonts w:hint="eastAsia" w:ascii="方正仿宋_GBK" w:hAnsi="方正仿宋_GBK" w:eastAsia="方正仿宋_GBK" w:cs="方正仿宋_GBK"/>
                <w:snapToGrid w:val="0"/>
                <w:color w:val="auto"/>
                <w:spacing w:val="-5"/>
                <w:kern w:val="0"/>
                <w:sz w:val="21"/>
                <w:szCs w:val="21"/>
                <w:highlight w:val="none"/>
                <w:lang w:eastAsia="en-US"/>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（b）</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近一年内有环境监测报告，并且污染物排放符合执行标准，但监测点位不符合要求或监测指标、频次不足。得</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2</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分。</w:t>
            </w:r>
          </w:p>
          <w:p w14:paraId="141FDC8E">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（c）</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近一年内未对污染物排放情况进行监测，或污染物超标排放。得0分。</w:t>
            </w:r>
          </w:p>
        </w:tc>
        <w:tc>
          <w:tcPr>
            <w:tcW w:w="1059" w:type="dxa"/>
            <w:vMerge w:val="continue"/>
            <w:vAlign w:val="center"/>
          </w:tcPr>
          <w:p w14:paraId="4809148B">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680" w:type="dxa"/>
            <w:vMerge w:val="continue"/>
            <w:vAlign w:val="center"/>
          </w:tcPr>
          <w:p w14:paraId="79F1AF95">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r>
      <w:tr w14:paraId="5F802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6" w:hRule="atLeast"/>
          <w:jc w:val="center"/>
        </w:trPr>
        <w:tc>
          <w:tcPr>
            <w:tcW w:w="1630" w:type="dxa"/>
            <w:vMerge w:val="restart"/>
            <w:vAlign w:val="center"/>
          </w:tcPr>
          <w:p w14:paraId="4A97AC40">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七、转移管理</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《固废法》第二十二条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第三十七条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tc>
        <w:tc>
          <w:tcPr>
            <w:tcW w:w="1058" w:type="dxa"/>
            <w:vMerge w:val="restart"/>
            <w:vAlign w:val="center"/>
          </w:tcPr>
          <w:p w14:paraId="66271F2B">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7.1.产废单位依法核实受托单位的运输、利用及处置能力，并在合同中约定污染防治要求；明确受托方的“处置报告”及“环境污染防治”义务；执行一般工业固体废物联单制度。</w:t>
            </w:r>
          </w:p>
        </w:tc>
        <w:tc>
          <w:tcPr>
            <w:tcW w:w="675" w:type="dxa"/>
            <w:vAlign w:val="center"/>
          </w:tcPr>
          <w:p w14:paraId="7F0EA426">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1.5</w:t>
            </w:r>
          </w:p>
        </w:tc>
        <w:tc>
          <w:tcPr>
            <w:tcW w:w="684" w:type="dxa"/>
            <w:shd w:val="clear" w:color="auto" w:fill="auto"/>
            <w:vAlign w:val="center"/>
          </w:tcPr>
          <w:p w14:paraId="23152150">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c>
          <w:tcPr>
            <w:tcW w:w="1116" w:type="dxa"/>
            <w:gridSpan w:val="2"/>
            <w:vMerge w:val="restart"/>
            <w:shd w:val="clear" w:color="auto" w:fill="auto"/>
            <w:vAlign w:val="center"/>
          </w:tcPr>
          <w:p w14:paraId="1CB927DE">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产废单位核实一般工业固体废物利用、处置单位主体资格和能力，在委托合同中载明一般工业固体废物相关信息；约定相关义务。产生单位按实际情况执行一般工业固体废物转移联单；并明确其最终利用、处置去向。</w:t>
            </w:r>
          </w:p>
        </w:tc>
        <w:tc>
          <w:tcPr>
            <w:tcW w:w="7200" w:type="dxa"/>
            <w:shd w:val="clear" w:color="auto" w:fill="auto"/>
            <w:vAlign w:val="center"/>
          </w:tcPr>
          <w:p w14:paraId="0D61DD7B">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1.</w:t>
            </w:r>
            <w:r>
              <w:rPr>
                <w:rFonts w:hint="eastAsia" w:ascii="方正仿宋_GBK" w:hAnsi="方正仿宋_GBK" w:eastAsia="方正仿宋_GBK" w:cs="方正仿宋_GBK"/>
                <w:snapToGrid w:val="0"/>
                <w:color w:val="auto"/>
                <w:spacing w:val="-5"/>
                <w:kern w:val="0"/>
                <w:sz w:val="21"/>
                <w:szCs w:val="21"/>
                <w:highlight w:val="none"/>
              </w:rPr>
              <w:t>产生单位直接委托利用处置一般工业固体废物的，在发生委托行为之前，核实受托方的主体资格和技术能力：</w:t>
            </w:r>
          </w:p>
          <w:p w14:paraId="72C7D5AA">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（a）营业执照；</w:t>
            </w:r>
          </w:p>
          <w:p w14:paraId="4681AB57">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（b）环境影响评价文件及批复文件；</w:t>
            </w:r>
          </w:p>
          <w:p w14:paraId="5C447A62">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（c）排污许可证。</w:t>
            </w:r>
          </w:p>
          <w:p w14:paraId="18F3628F">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经核实，所产生一般工业固体废物在受托方的处置能力范围之内。得1.5分。</w:t>
            </w:r>
          </w:p>
        </w:tc>
        <w:tc>
          <w:tcPr>
            <w:tcW w:w="1059" w:type="dxa"/>
            <w:vAlign w:val="center"/>
          </w:tcPr>
          <w:p w14:paraId="47256F55">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资料检查（查看合同材料及利用处置单位的相关资料）</w:t>
            </w:r>
          </w:p>
        </w:tc>
        <w:tc>
          <w:tcPr>
            <w:tcW w:w="680" w:type="dxa"/>
            <w:vAlign w:val="center"/>
          </w:tcPr>
          <w:p w14:paraId="19908F50">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r>
      <w:tr w14:paraId="571FE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3" w:hRule="atLeast"/>
          <w:jc w:val="center"/>
        </w:trPr>
        <w:tc>
          <w:tcPr>
            <w:tcW w:w="1630" w:type="dxa"/>
            <w:vMerge w:val="continue"/>
            <w:vAlign w:val="center"/>
          </w:tcPr>
          <w:p w14:paraId="78F85D6E">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058" w:type="dxa"/>
            <w:vMerge w:val="continue"/>
            <w:vAlign w:val="center"/>
          </w:tcPr>
          <w:p w14:paraId="1353F8CF">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675" w:type="dxa"/>
            <w:vMerge w:val="restart"/>
            <w:vAlign w:val="center"/>
          </w:tcPr>
          <w:p w14:paraId="2203E58D">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2.5</w:t>
            </w:r>
          </w:p>
        </w:tc>
        <w:tc>
          <w:tcPr>
            <w:tcW w:w="684" w:type="dxa"/>
            <w:vMerge w:val="restart"/>
            <w:shd w:val="clear" w:color="auto" w:fill="auto"/>
            <w:vAlign w:val="center"/>
          </w:tcPr>
          <w:p w14:paraId="77F4B0ED">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116" w:type="dxa"/>
            <w:gridSpan w:val="2"/>
            <w:vMerge w:val="continue"/>
            <w:shd w:val="clear" w:color="auto" w:fill="auto"/>
            <w:vAlign w:val="center"/>
          </w:tcPr>
          <w:p w14:paraId="110997D7">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7200" w:type="dxa"/>
            <w:shd w:val="clear" w:color="auto" w:fill="auto"/>
            <w:vAlign w:val="center"/>
          </w:tcPr>
          <w:p w14:paraId="57A532E4">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2.产废单位与受托单位签订的合同应包含以下内容，每项符合得0.5分：</w:t>
            </w:r>
          </w:p>
          <w:p w14:paraId="5682D171">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（a）</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一般工业固体废物的产生环节</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种类</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、代码、</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物理性状</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、包装方式、</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数量</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及处置方式等</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w:t>
            </w:r>
          </w:p>
          <w:p w14:paraId="17A45ED9">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（b）受托方</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利用处置一般工业固体废物的</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场所、</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采取的技术方法以及利用处置能力</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p w14:paraId="51A5A34C">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（c）受托方在</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利用处置</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一般工业固体废物</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结束后及时向委托方报告的</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要求</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w:t>
            </w:r>
          </w:p>
          <w:p w14:paraId="03527315">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（d）明确受托方</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运输、利用、处置一般工业固体废物</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所</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执行的污染控制标准，如果没有对应的污染控制标准，双方根据实际情况约定污染防治要求。</w:t>
            </w:r>
          </w:p>
          <w:p w14:paraId="007CE332">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（e）将核实受托方的利用处置一般工业固体废物能力的文件作为合同附件。</w:t>
            </w:r>
          </w:p>
        </w:tc>
        <w:tc>
          <w:tcPr>
            <w:tcW w:w="1059" w:type="dxa"/>
            <w:vAlign w:val="center"/>
          </w:tcPr>
          <w:p w14:paraId="6B517271">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资料检查（查看合同材料）</w:t>
            </w:r>
          </w:p>
        </w:tc>
        <w:tc>
          <w:tcPr>
            <w:tcW w:w="680" w:type="dxa"/>
            <w:vAlign w:val="center"/>
          </w:tcPr>
          <w:p w14:paraId="23B262DA">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r>
      <w:tr w14:paraId="179D6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atLeast"/>
          <w:jc w:val="center"/>
        </w:trPr>
        <w:tc>
          <w:tcPr>
            <w:tcW w:w="1630" w:type="dxa"/>
            <w:vMerge w:val="continue"/>
            <w:vAlign w:val="center"/>
          </w:tcPr>
          <w:p w14:paraId="6801B3E7">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058" w:type="dxa"/>
            <w:vMerge w:val="continue"/>
            <w:vAlign w:val="center"/>
          </w:tcPr>
          <w:p w14:paraId="494D6B6E">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675" w:type="dxa"/>
            <w:vMerge w:val="continue"/>
            <w:vAlign w:val="center"/>
          </w:tcPr>
          <w:p w14:paraId="0CFD39BB">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c>
          <w:tcPr>
            <w:tcW w:w="684" w:type="dxa"/>
            <w:vMerge w:val="continue"/>
            <w:shd w:val="clear" w:color="auto" w:fill="auto"/>
            <w:vAlign w:val="center"/>
          </w:tcPr>
          <w:p w14:paraId="3C78A273">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116" w:type="dxa"/>
            <w:gridSpan w:val="2"/>
            <w:vMerge w:val="continue"/>
            <w:shd w:val="clear" w:color="auto" w:fill="auto"/>
            <w:vAlign w:val="center"/>
          </w:tcPr>
          <w:p w14:paraId="1A90B61E">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7200" w:type="dxa"/>
            <w:shd w:val="clear" w:color="auto" w:fill="auto"/>
            <w:vAlign w:val="center"/>
          </w:tcPr>
          <w:p w14:paraId="12718A9A">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t>注：</w:t>
            </w:r>
            <w:r>
              <w:rPr>
                <w:rFonts w:hint="eastAsia" w:ascii="方正仿宋_GBK" w:hAnsi="方正仿宋_GBK" w:eastAsia="方正仿宋_GBK" w:cs="方正仿宋_GBK"/>
                <w:snapToGrid w:val="0"/>
                <w:color w:val="auto"/>
                <w:spacing w:val="-5"/>
                <w:kern w:val="0"/>
                <w:sz w:val="21"/>
                <w:szCs w:val="21"/>
                <w:highlight w:val="none"/>
              </w:rPr>
              <w:t>受托方不具备利用处置技术能力需要转委托的，需在合同中明确转委托的具体要求。受托方代为找到第三方利用处置单位后，产生单位需要对第三方的主体资格和技术能力进行核实</w:t>
            </w:r>
            <w:r>
              <w:rPr>
                <w:rFonts w:hint="eastAsia" w:ascii="方正仿宋_GBK" w:hAnsi="方正仿宋_GBK" w:eastAsia="方正仿宋_GBK" w:cs="方正仿宋_GBK"/>
                <w:snapToGrid w:val="0"/>
                <w:color w:val="auto"/>
                <w:spacing w:val="-5"/>
                <w:kern w:val="0"/>
                <w:sz w:val="21"/>
                <w:szCs w:val="21"/>
                <w:highlight w:val="none"/>
                <w:lang w:eastAsia="zh-CN"/>
              </w:rPr>
              <w:t>。</w:t>
            </w:r>
            <w:r>
              <w:rPr>
                <w:rFonts w:hint="eastAsia" w:ascii="方正仿宋_GBK" w:hAnsi="方正仿宋_GBK" w:eastAsia="方正仿宋_GBK" w:cs="方正仿宋_GBK"/>
                <w:snapToGrid w:val="0"/>
                <w:color w:val="auto"/>
                <w:spacing w:val="-5"/>
                <w:kern w:val="0"/>
                <w:sz w:val="21"/>
                <w:szCs w:val="21"/>
                <w:highlight w:val="none"/>
                <w:lang w:val="en-US" w:eastAsia="zh-CN"/>
              </w:rPr>
              <w:t>受托方或</w:t>
            </w:r>
            <w:r>
              <w:rPr>
                <w:rFonts w:hint="eastAsia" w:ascii="方正仿宋_GBK" w:hAnsi="方正仿宋_GBK" w:eastAsia="方正仿宋_GBK" w:cs="方正仿宋_GBK"/>
                <w:snapToGrid w:val="0"/>
                <w:color w:val="auto"/>
                <w:spacing w:val="-5"/>
                <w:kern w:val="0"/>
                <w:sz w:val="21"/>
                <w:szCs w:val="21"/>
                <w:highlight w:val="none"/>
              </w:rPr>
              <w:t>第三方利用处置活动结束后，</w:t>
            </w:r>
            <w:r>
              <w:rPr>
                <w:rFonts w:hint="eastAsia" w:ascii="方正仿宋_GBK" w:hAnsi="方正仿宋_GBK" w:eastAsia="方正仿宋_GBK" w:cs="方正仿宋_GBK"/>
                <w:snapToGrid w:val="0"/>
                <w:color w:val="auto"/>
                <w:spacing w:val="-5"/>
                <w:kern w:val="0"/>
                <w:sz w:val="21"/>
                <w:szCs w:val="21"/>
                <w:highlight w:val="none"/>
                <w:lang w:val="en-US" w:eastAsia="zh-CN"/>
              </w:rPr>
              <w:t>由</w:t>
            </w:r>
            <w:r>
              <w:rPr>
                <w:rFonts w:hint="eastAsia" w:ascii="方正仿宋_GBK" w:hAnsi="方正仿宋_GBK" w:eastAsia="方正仿宋_GBK" w:cs="方正仿宋_GBK"/>
                <w:snapToGrid w:val="0"/>
                <w:color w:val="auto"/>
                <w:spacing w:val="-5"/>
                <w:kern w:val="0"/>
                <w:sz w:val="21"/>
                <w:szCs w:val="21"/>
                <w:highlight w:val="none"/>
              </w:rPr>
              <w:t>受托方</w:t>
            </w:r>
            <w:r>
              <w:rPr>
                <w:rFonts w:hint="eastAsia" w:ascii="方正仿宋_GBK" w:hAnsi="方正仿宋_GBK" w:eastAsia="方正仿宋_GBK" w:cs="方正仿宋_GBK"/>
                <w:snapToGrid w:val="0"/>
                <w:color w:val="auto"/>
                <w:spacing w:val="-5"/>
                <w:kern w:val="0"/>
                <w:sz w:val="21"/>
                <w:szCs w:val="21"/>
                <w:highlight w:val="none"/>
                <w:lang w:val="en-US" w:eastAsia="zh-CN"/>
              </w:rPr>
              <w:t>定期</w:t>
            </w:r>
            <w:r>
              <w:rPr>
                <w:rFonts w:hint="eastAsia" w:ascii="方正仿宋_GBK" w:hAnsi="方正仿宋_GBK" w:eastAsia="方正仿宋_GBK" w:cs="方正仿宋_GBK"/>
                <w:snapToGrid w:val="0"/>
                <w:color w:val="auto"/>
                <w:spacing w:val="-5"/>
                <w:kern w:val="0"/>
                <w:sz w:val="21"/>
                <w:szCs w:val="21"/>
                <w:highlight w:val="none"/>
              </w:rPr>
              <w:t>向委托方报告利用处置情况</w:t>
            </w:r>
            <w:r>
              <w:rPr>
                <w:rFonts w:hint="eastAsia" w:ascii="方正仿宋_GBK" w:hAnsi="方正仿宋_GBK" w:eastAsia="方正仿宋_GBK" w:cs="方正仿宋_GBK"/>
                <w:snapToGrid w:val="0"/>
                <w:color w:val="auto"/>
                <w:spacing w:val="-5"/>
                <w:kern w:val="0"/>
                <w:sz w:val="21"/>
                <w:szCs w:val="21"/>
                <w:highlight w:val="none"/>
                <w:lang w:eastAsia="zh-CN"/>
              </w:rPr>
              <w:t>，</w:t>
            </w:r>
            <w:r>
              <w:rPr>
                <w:rFonts w:hint="eastAsia" w:ascii="方正仿宋_GBK" w:hAnsi="方正仿宋_GBK" w:eastAsia="方正仿宋_GBK" w:cs="方正仿宋_GBK"/>
                <w:snapToGrid w:val="0"/>
                <w:color w:val="auto"/>
                <w:spacing w:val="-5"/>
                <w:kern w:val="0"/>
                <w:sz w:val="21"/>
                <w:szCs w:val="21"/>
                <w:highlight w:val="none"/>
                <w:lang w:val="en-US" w:eastAsia="zh-CN"/>
              </w:rPr>
              <w:t>至少1次/年</w:t>
            </w:r>
            <w:r>
              <w:rPr>
                <w:rFonts w:hint="eastAsia" w:ascii="方正仿宋_GBK" w:hAnsi="方正仿宋_GBK" w:eastAsia="方正仿宋_GBK" w:cs="方正仿宋_GBK"/>
                <w:snapToGrid w:val="0"/>
                <w:color w:val="auto"/>
                <w:spacing w:val="-5"/>
                <w:kern w:val="0"/>
                <w:sz w:val="21"/>
                <w:szCs w:val="21"/>
                <w:highlight w:val="none"/>
              </w:rPr>
              <w:t>。</w:t>
            </w:r>
          </w:p>
        </w:tc>
        <w:tc>
          <w:tcPr>
            <w:tcW w:w="1059" w:type="dxa"/>
            <w:vAlign w:val="center"/>
          </w:tcPr>
          <w:p w14:paraId="71BAC616">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680" w:type="dxa"/>
            <w:vAlign w:val="center"/>
          </w:tcPr>
          <w:p w14:paraId="1506BE43">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r>
      <w:tr w14:paraId="33294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1630" w:type="dxa"/>
            <w:vMerge w:val="continue"/>
            <w:vAlign w:val="center"/>
          </w:tcPr>
          <w:p w14:paraId="1B034435">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058" w:type="dxa"/>
            <w:vMerge w:val="continue"/>
            <w:vAlign w:val="center"/>
          </w:tcPr>
          <w:p w14:paraId="74D95E7C">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675" w:type="dxa"/>
            <w:vAlign w:val="center"/>
          </w:tcPr>
          <w:p w14:paraId="121A110B">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3</w:t>
            </w:r>
          </w:p>
        </w:tc>
        <w:tc>
          <w:tcPr>
            <w:tcW w:w="684" w:type="dxa"/>
            <w:shd w:val="clear" w:color="auto" w:fill="auto"/>
            <w:vAlign w:val="center"/>
          </w:tcPr>
          <w:p w14:paraId="1F04AF22">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116" w:type="dxa"/>
            <w:gridSpan w:val="2"/>
            <w:vMerge w:val="continue"/>
            <w:shd w:val="clear" w:color="auto" w:fill="auto"/>
            <w:vAlign w:val="center"/>
          </w:tcPr>
          <w:p w14:paraId="7F901291">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7200" w:type="dxa"/>
            <w:shd w:val="clear" w:color="auto" w:fill="auto"/>
            <w:vAlign w:val="center"/>
          </w:tcPr>
          <w:p w14:paraId="35157791">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一般工业固体废物利用或处置去向管理：</w:t>
            </w:r>
          </w:p>
          <w:p w14:paraId="3C5C723F">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3.</w:t>
            </w:r>
            <w:r>
              <w:rPr>
                <w:rFonts w:hint="eastAsia" w:ascii="方正仿宋_GBK" w:hAnsi="方正仿宋_GBK" w:eastAsia="方正仿宋_GBK" w:cs="方正仿宋_GBK"/>
                <w:snapToGrid w:val="0"/>
                <w:color w:val="auto"/>
                <w:spacing w:val="-5"/>
                <w:kern w:val="0"/>
                <w:sz w:val="21"/>
                <w:szCs w:val="21"/>
                <w:highlight w:val="none"/>
                <w:lang w:val="en-US" w:eastAsia="zh-CN"/>
              </w:rPr>
              <w:t>产生一般工业固体废物的规模以上、年产生量100吨及以上（近三年内）的企业</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以及运输和接收一般工业固体废物的单位，按照实际转移情况如实填报一般工业固体废物转移联单。得2分。</w:t>
            </w:r>
          </w:p>
          <w:p w14:paraId="44FB4B0D">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4.</w:t>
            </w:r>
            <w:r>
              <w:rPr>
                <w:rFonts w:hint="eastAsia" w:ascii="方正仿宋_GBK" w:hAnsi="方正仿宋_GBK" w:eastAsia="方正仿宋_GBK" w:cs="方正仿宋_GBK"/>
                <w:snapToGrid w:val="0"/>
                <w:color w:val="auto"/>
                <w:spacing w:val="-5"/>
                <w:kern w:val="0"/>
                <w:sz w:val="21"/>
                <w:szCs w:val="21"/>
                <w:highlight w:val="none"/>
                <w:lang w:val="en-US" w:eastAsia="zh-CN"/>
              </w:rPr>
              <w:t>产生单位</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应与受托方签订利用/处置合同；若受托方不具有利用/处置能力，受托方需向产生单位提供其与第三方签订的利用/处置合同。得1分。</w:t>
            </w:r>
          </w:p>
        </w:tc>
        <w:tc>
          <w:tcPr>
            <w:tcW w:w="1059" w:type="dxa"/>
            <w:vAlign w:val="center"/>
          </w:tcPr>
          <w:p w14:paraId="77A0D952">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资料检查（现场查看转移联单，并核对台账）</w:t>
            </w:r>
          </w:p>
        </w:tc>
        <w:tc>
          <w:tcPr>
            <w:tcW w:w="680" w:type="dxa"/>
            <w:vAlign w:val="center"/>
          </w:tcPr>
          <w:p w14:paraId="2B43C0AF">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r>
      <w:tr w14:paraId="13516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9" w:hRule="atLeast"/>
          <w:jc w:val="center"/>
        </w:trPr>
        <w:tc>
          <w:tcPr>
            <w:tcW w:w="1630" w:type="dxa"/>
            <w:vMerge w:val="continue"/>
            <w:vAlign w:val="center"/>
          </w:tcPr>
          <w:p w14:paraId="2CADA3A0">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058" w:type="dxa"/>
            <w:vAlign w:val="center"/>
          </w:tcPr>
          <w:p w14:paraId="2D2C295D">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7.2.一般工业固体废物跨省贮存、利用、处置的，产生单位应依法履行备案、申请等程序。</w:t>
            </w:r>
          </w:p>
        </w:tc>
        <w:tc>
          <w:tcPr>
            <w:tcW w:w="675" w:type="dxa"/>
            <w:vAlign w:val="center"/>
          </w:tcPr>
          <w:p w14:paraId="458D5C0C">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2</w:t>
            </w:r>
          </w:p>
        </w:tc>
        <w:tc>
          <w:tcPr>
            <w:tcW w:w="684" w:type="dxa"/>
            <w:shd w:val="clear" w:color="auto" w:fill="auto"/>
            <w:vAlign w:val="center"/>
          </w:tcPr>
          <w:p w14:paraId="4F6AEEE1">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c>
          <w:tcPr>
            <w:tcW w:w="1116" w:type="dxa"/>
            <w:gridSpan w:val="2"/>
            <w:shd w:val="clear" w:color="auto" w:fill="auto"/>
            <w:vAlign w:val="center"/>
          </w:tcPr>
          <w:p w14:paraId="119CD547">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产废单位按规定完成一般工业固体废物出市辖区贮存、利用、处置的转移手续。</w:t>
            </w:r>
          </w:p>
        </w:tc>
        <w:tc>
          <w:tcPr>
            <w:tcW w:w="7200" w:type="dxa"/>
            <w:shd w:val="clear" w:color="auto" w:fill="auto"/>
            <w:vAlign w:val="center"/>
          </w:tcPr>
          <w:p w14:paraId="5452435A">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1.一般工业固体废物跨省贮存、利用、处置的，产生单位应在转移活动之前完成相关手续。得2分。</w:t>
            </w:r>
          </w:p>
          <w:p w14:paraId="0D074DD1">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p w14:paraId="03EDEB7A">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t>注：</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一般工业固体废物跨省转移贮存、处置的，产生单位应完成申请及审批手续；一般工业固体废物跨省转移利用的，产生单位应完成备案手续。无跨省贮存、处置和利用的，本项制度不计分。</w:t>
            </w:r>
          </w:p>
        </w:tc>
        <w:tc>
          <w:tcPr>
            <w:tcW w:w="1059" w:type="dxa"/>
            <w:vAlign w:val="center"/>
          </w:tcPr>
          <w:p w14:paraId="4CF23F7C">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资料检查（查看合同材料及跨省转移申请、审批及备案等材料）</w:t>
            </w:r>
          </w:p>
        </w:tc>
        <w:tc>
          <w:tcPr>
            <w:tcW w:w="680" w:type="dxa"/>
            <w:vAlign w:val="center"/>
          </w:tcPr>
          <w:p w14:paraId="7618637F">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r>
      <w:tr w14:paraId="21438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0" w:type="dxa"/>
            <w:vAlign w:val="center"/>
          </w:tcPr>
          <w:p w14:paraId="3944AE6D">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八、产生单位内部管理</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《固废法》第十九条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第三十六条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tc>
        <w:tc>
          <w:tcPr>
            <w:tcW w:w="1058" w:type="dxa"/>
            <w:vAlign w:val="center"/>
          </w:tcPr>
          <w:p w14:paraId="3EFC011D">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8.产废单位依法建立健全一般工业固废</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污染防治责任制度</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加强设施设备</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及</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场所管理维护，</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确保其</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正常运</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行。</w:t>
            </w:r>
          </w:p>
        </w:tc>
        <w:tc>
          <w:tcPr>
            <w:tcW w:w="675" w:type="dxa"/>
            <w:vAlign w:val="center"/>
          </w:tcPr>
          <w:p w14:paraId="432F1040">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2</w:t>
            </w:r>
          </w:p>
        </w:tc>
        <w:tc>
          <w:tcPr>
            <w:tcW w:w="684" w:type="dxa"/>
            <w:shd w:val="clear" w:color="auto" w:fill="auto"/>
            <w:vAlign w:val="center"/>
          </w:tcPr>
          <w:p w14:paraId="76061042">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c>
          <w:tcPr>
            <w:tcW w:w="1116" w:type="dxa"/>
            <w:gridSpan w:val="2"/>
            <w:shd w:val="clear" w:color="auto" w:fill="auto"/>
            <w:vAlign w:val="center"/>
          </w:tcPr>
          <w:p w14:paraId="7DC74784">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建立了涵盖全过程的责任制度，负责人明确，责任分解清晰；责任人熟悉相关法律法规、制度标准等。</w:t>
            </w:r>
          </w:p>
        </w:tc>
        <w:tc>
          <w:tcPr>
            <w:tcW w:w="7200" w:type="dxa"/>
            <w:shd w:val="clear" w:color="auto" w:fill="auto"/>
            <w:vAlign w:val="center"/>
          </w:tcPr>
          <w:p w14:paraId="2093ED0B">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1.</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建立</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一般工业固体废物污染环境防治</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责任制度，明确</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责任部门</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及</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责任人员</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p w14:paraId="679AFD2F">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2.</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安排固定人员负责一般工业固体废物材料</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档案管理，包括</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废物管理</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台账、委外运输/利用处置合同以及其他与一般工业固体废物污染防治相关</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材料；</w:t>
            </w:r>
          </w:p>
          <w:p w14:paraId="1109B126">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3.</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对管理人员和从事</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一般工业固体废物</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收集、运输、贮存、利用和处置等工作的人员进行培训</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w:t>
            </w:r>
          </w:p>
          <w:p w14:paraId="57A63C7E">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4</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.建立一般工业固体废物日常现场检查工作机制，明确日常检查内容、检查时间与频次、检查结果等，对发现的问题及时督促整改</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p w14:paraId="5F3596C2">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以上每项符合得0.5分。</w:t>
            </w:r>
          </w:p>
        </w:tc>
        <w:tc>
          <w:tcPr>
            <w:tcW w:w="1059" w:type="dxa"/>
            <w:vAlign w:val="center"/>
          </w:tcPr>
          <w:p w14:paraId="3A30E5D1">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资料检查（查看</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污染环境防治</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责任制度</w:t>
            </w: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文件等相关材料）</w:t>
            </w:r>
          </w:p>
        </w:tc>
        <w:tc>
          <w:tcPr>
            <w:tcW w:w="680" w:type="dxa"/>
            <w:vAlign w:val="center"/>
          </w:tcPr>
          <w:p w14:paraId="555DECC3">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r>
      <w:tr w14:paraId="7B9FE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0" w:type="dxa"/>
            <w:shd w:val="clear" w:color="auto" w:fill="auto"/>
            <w:vAlign w:val="center"/>
          </w:tcPr>
          <w:p w14:paraId="7C3117C4">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九、信息公开制度</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《固废法》第二十九条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《企业环境信息依法披露管理办法》（生态环境部令第24号）</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《企业环境信息依法披露格式准则》（环办综合〔2021〕32号）</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tc>
        <w:tc>
          <w:tcPr>
            <w:tcW w:w="1058" w:type="dxa"/>
            <w:shd w:val="clear" w:color="auto" w:fill="auto"/>
            <w:vAlign w:val="center"/>
          </w:tcPr>
          <w:p w14:paraId="3E9E8169">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9.产废单位按</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照</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相关</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规定</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依法及时公开</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一般工业固体废物</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污染环境防治信息，主动接受社会监督</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tc>
        <w:tc>
          <w:tcPr>
            <w:tcW w:w="675" w:type="dxa"/>
            <w:shd w:val="clear" w:color="auto" w:fill="auto"/>
            <w:vAlign w:val="center"/>
          </w:tcPr>
          <w:p w14:paraId="4D32B412">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2</w:t>
            </w:r>
          </w:p>
        </w:tc>
        <w:tc>
          <w:tcPr>
            <w:tcW w:w="684" w:type="dxa"/>
            <w:shd w:val="clear" w:color="auto" w:fill="auto"/>
            <w:vAlign w:val="center"/>
          </w:tcPr>
          <w:p w14:paraId="575E4BB5">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c>
          <w:tcPr>
            <w:tcW w:w="1116" w:type="dxa"/>
            <w:gridSpan w:val="2"/>
            <w:shd w:val="clear" w:color="auto" w:fill="auto"/>
            <w:vAlign w:val="center"/>
          </w:tcPr>
          <w:p w14:paraId="10BD7713">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产废单位按规定公开一般工业固体废物的</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产生、贮存、流向</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利用</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和</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处置等信息</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tc>
        <w:tc>
          <w:tcPr>
            <w:tcW w:w="7200" w:type="dxa"/>
            <w:shd w:val="clear" w:color="auto" w:fill="auto"/>
            <w:vAlign w:val="center"/>
          </w:tcPr>
          <w:p w14:paraId="721E8346">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通过</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公开</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网站、</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公众号或企业</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公告栏等途径，及时</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、准确</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公开一般工业固体废物产生、贮存、流向和利用处置等信息。</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得2分。</w:t>
            </w:r>
          </w:p>
        </w:tc>
        <w:tc>
          <w:tcPr>
            <w:tcW w:w="1059" w:type="dxa"/>
            <w:vAlign w:val="center"/>
          </w:tcPr>
          <w:p w14:paraId="5AEF3C60">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资料检查（查看</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公开信息，并与管理台账数据核对</w:t>
            </w: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w:t>
            </w:r>
          </w:p>
        </w:tc>
        <w:tc>
          <w:tcPr>
            <w:tcW w:w="680" w:type="dxa"/>
            <w:vAlign w:val="center"/>
          </w:tcPr>
          <w:p w14:paraId="37127C16">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r>
      <w:tr w14:paraId="4C3F3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8" w:type="dxa"/>
            <w:gridSpan w:val="2"/>
            <w:shd w:val="clear" w:color="auto" w:fill="auto"/>
            <w:vAlign w:val="center"/>
          </w:tcPr>
          <w:p w14:paraId="120345A4">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合计</w:t>
            </w:r>
          </w:p>
        </w:tc>
        <w:tc>
          <w:tcPr>
            <w:tcW w:w="9675" w:type="dxa"/>
            <w:gridSpan w:val="5"/>
            <w:shd w:val="clear" w:color="auto" w:fill="auto"/>
            <w:vAlign w:val="center"/>
          </w:tcPr>
          <w:p w14:paraId="3B3E9A5F">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60</w:t>
            </w:r>
          </w:p>
        </w:tc>
        <w:tc>
          <w:tcPr>
            <w:tcW w:w="1739" w:type="dxa"/>
            <w:gridSpan w:val="2"/>
            <w:shd w:val="clear" w:color="auto" w:fill="auto"/>
            <w:vAlign w:val="center"/>
          </w:tcPr>
          <w:p w14:paraId="42802A71">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r>
      <w:tr w14:paraId="30525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jc w:val="center"/>
        </w:trPr>
        <w:tc>
          <w:tcPr>
            <w:tcW w:w="1630" w:type="dxa"/>
            <w:shd w:val="clear" w:color="auto" w:fill="auto"/>
            <w:vAlign w:val="center"/>
          </w:tcPr>
          <w:p w14:paraId="4A690608">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加分项</w:t>
            </w:r>
          </w:p>
        </w:tc>
        <w:tc>
          <w:tcPr>
            <w:tcW w:w="10733" w:type="dxa"/>
            <w:gridSpan w:val="6"/>
            <w:shd w:val="clear" w:color="auto" w:fill="auto"/>
            <w:vAlign w:val="center"/>
          </w:tcPr>
          <w:p w14:paraId="2F504499">
            <w:pPr>
              <w:keepNext w:val="0"/>
              <w:keepLines w:val="0"/>
              <w:widowControl/>
              <w:suppressLineNumbers w:val="0"/>
              <w:kinsoku/>
              <w:autoSpaceDE w:val="0"/>
              <w:autoSpaceDN w:val="0"/>
              <w:adjustRightInd w:val="0"/>
              <w:snapToGrid w:val="0"/>
              <w:jc w:val="both"/>
              <w:textAlignment w:val="baseline"/>
              <w:rPr>
                <w:rFonts w:hint="eastAsia" w:ascii="方正仿宋_GBK" w:hAnsi="方正仿宋_GBK" w:eastAsia="方正仿宋_GBK" w:cs="方正仿宋_GBK"/>
                <w:snapToGrid w:val="0"/>
                <w:color w:val="auto"/>
                <w:spacing w:val="-5"/>
                <w:kern w:val="0"/>
                <w:sz w:val="21"/>
                <w:szCs w:val="21"/>
                <w:highlight w:val="none"/>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a.</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在</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一般工业固体废物相关重点环节和关键节点应用</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视频监控的，加</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0.5</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分</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w:t>
            </w:r>
          </w:p>
          <w:p w14:paraId="7DB7B9AD">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b</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未列入重庆市“清洁生产审核企业名单”的企业自愿开展清洁生产审核的，加0.5分。</w:t>
            </w:r>
          </w:p>
          <w:p w14:paraId="01EDBC12">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c.</w:t>
            </w:r>
            <w:r>
              <w:rPr>
                <w:rFonts w:hint="eastAsia" w:ascii="方正仿宋_GBK" w:hAnsi="方正仿宋_GBK" w:eastAsia="方正仿宋_GBK" w:cs="方正仿宋_GBK"/>
                <w:strike w:val="0"/>
                <w:snapToGrid w:val="0"/>
                <w:color w:val="auto"/>
                <w:spacing w:val="-5"/>
                <w:kern w:val="0"/>
                <w:sz w:val="21"/>
                <w:szCs w:val="21"/>
                <w:highlight w:val="none"/>
              </w:rPr>
              <w:t>按规定提交</w:t>
            </w:r>
            <w:r>
              <w:rPr>
                <w:rFonts w:hint="eastAsia" w:ascii="方正仿宋_GBK" w:hAnsi="方正仿宋_GBK" w:eastAsia="方正仿宋_GBK" w:cs="方正仿宋_GBK"/>
                <w:strike w:val="0"/>
                <w:snapToGrid w:val="0"/>
                <w:color w:val="auto"/>
                <w:spacing w:val="-5"/>
                <w:kern w:val="0"/>
                <w:sz w:val="21"/>
                <w:szCs w:val="21"/>
                <w:highlight w:val="none"/>
                <w:lang w:val="en-US" w:eastAsia="zh-CN"/>
              </w:rPr>
              <w:t>符合固废技术规范的</w:t>
            </w:r>
            <w:r>
              <w:rPr>
                <w:rFonts w:hint="eastAsia" w:ascii="方正仿宋_GBK" w:hAnsi="方正仿宋_GBK" w:eastAsia="方正仿宋_GBK" w:cs="方正仿宋_GBK"/>
                <w:strike w:val="0"/>
                <w:snapToGrid w:val="0"/>
                <w:color w:val="auto"/>
                <w:spacing w:val="-5"/>
                <w:kern w:val="0"/>
                <w:sz w:val="21"/>
                <w:szCs w:val="21"/>
                <w:highlight w:val="none"/>
              </w:rPr>
              <w:t>执行报告</w:t>
            </w:r>
            <w:r>
              <w:rPr>
                <w:rFonts w:hint="eastAsia" w:ascii="方正仿宋_GBK" w:hAnsi="方正仿宋_GBK" w:eastAsia="方正仿宋_GBK" w:cs="方正仿宋_GBK"/>
                <w:strike w:val="0"/>
                <w:snapToGrid w:val="0"/>
                <w:color w:val="auto"/>
                <w:spacing w:val="-5"/>
                <w:kern w:val="0"/>
                <w:sz w:val="21"/>
                <w:szCs w:val="21"/>
                <w:highlight w:val="none"/>
                <w:lang w:eastAsia="zh-CN"/>
              </w:rPr>
              <w:t>，</w:t>
            </w:r>
            <w:r>
              <w:rPr>
                <w:rFonts w:hint="eastAsia" w:ascii="方正仿宋_GBK" w:hAnsi="方正仿宋_GBK" w:eastAsia="方正仿宋_GBK" w:cs="方正仿宋_GBK"/>
                <w:strike w:val="0"/>
                <w:snapToGrid w:val="0"/>
                <w:color w:val="auto"/>
                <w:spacing w:val="-5"/>
                <w:kern w:val="0"/>
                <w:sz w:val="21"/>
                <w:szCs w:val="21"/>
                <w:highlight w:val="none"/>
                <w:lang w:val="en-US" w:eastAsia="zh-CN"/>
              </w:rPr>
              <w:t>且执行报告载明了</w:t>
            </w:r>
            <w:r>
              <w:rPr>
                <w:rFonts w:hint="eastAsia" w:ascii="方正仿宋_GBK" w:hAnsi="方正仿宋_GBK" w:eastAsia="方正仿宋_GBK" w:cs="方正仿宋_GBK"/>
                <w:strike w:val="0"/>
                <w:snapToGrid w:val="0"/>
                <w:color w:val="auto"/>
                <w:spacing w:val="-5"/>
                <w:kern w:val="0"/>
                <w:sz w:val="21"/>
                <w:szCs w:val="21"/>
                <w:highlight w:val="none"/>
              </w:rPr>
              <w:t>一般工业固体废物产生、贮存、利用、处置等信息</w:t>
            </w:r>
            <w:r>
              <w:rPr>
                <w:rFonts w:hint="eastAsia" w:ascii="方正仿宋_GBK" w:hAnsi="方正仿宋_GBK" w:eastAsia="方正仿宋_GBK" w:cs="方正仿宋_GBK"/>
                <w:strike w:val="0"/>
                <w:snapToGrid w:val="0"/>
                <w:color w:val="auto"/>
                <w:spacing w:val="-5"/>
                <w:kern w:val="0"/>
                <w:sz w:val="21"/>
                <w:szCs w:val="21"/>
                <w:highlight w:val="none"/>
                <w:lang w:val="en-US" w:eastAsia="zh-CN"/>
              </w:rPr>
              <w:t>的，加0.5分。</w:t>
            </w:r>
          </w:p>
          <w:p w14:paraId="318EBEF3">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d</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在核实一般工业固体废物利用处置能力过程中，到受托方开展实地考察的，加0.5分。</w:t>
            </w:r>
          </w:p>
          <w:p w14:paraId="2B44D9FB">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e</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.投保环境污染责任保险的，加</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0.5</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分。</w:t>
            </w:r>
          </w:p>
        </w:tc>
        <w:tc>
          <w:tcPr>
            <w:tcW w:w="1059" w:type="dxa"/>
            <w:shd w:val="clear" w:color="auto" w:fill="auto"/>
            <w:vAlign w:val="center"/>
          </w:tcPr>
          <w:p w14:paraId="579232AA">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查阅相关资料、现场核查</w:t>
            </w:r>
          </w:p>
        </w:tc>
        <w:tc>
          <w:tcPr>
            <w:tcW w:w="680" w:type="dxa"/>
            <w:shd w:val="clear" w:color="auto" w:fill="auto"/>
            <w:vAlign w:val="center"/>
          </w:tcPr>
          <w:p w14:paraId="0A379E97">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r>
      <w:tr w14:paraId="73733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1630" w:type="dxa"/>
            <w:shd w:val="clear" w:color="auto" w:fill="auto"/>
            <w:vAlign w:val="center"/>
          </w:tcPr>
          <w:p w14:paraId="62EA1EB3">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否决项</w:t>
            </w:r>
          </w:p>
        </w:tc>
        <w:tc>
          <w:tcPr>
            <w:tcW w:w="10733" w:type="dxa"/>
            <w:gridSpan w:val="6"/>
            <w:shd w:val="clear" w:color="auto" w:fill="auto"/>
            <w:vAlign w:val="center"/>
          </w:tcPr>
          <w:p w14:paraId="44991D3F">
            <w:pPr>
              <w:keepNext w:val="0"/>
              <w:keepLines w:val="0"/>
              <w:widowControl/>
              <w:suppressLineNumbers w:val="0"/>
              <w:kinsoku/>
              <w:autoSpaceDE w:val="0"/>
              <w:autoSpaceDN w:val="0"/>
              <w:adjustRightInd w:val="0"/>
              <w:snapToGrid w:val="0"/>
              <w:jc w:val="both"/>
              <w:textAlignment w:val="baseline"/>
              <w:rPr>
                <w:rFonts w:hint="eastAsia" w:ascii="方正仿宋_GBK" w:hAnsi="方正仿宋_GBK" w:eastAsia="方正仿宋_GBK" w:cs="方正仿宋_GBK"/>
                <w:snapToGrid w:val="0"/>
                <w:color w:val="auto"/>
                <w:spacing w:val="-5"/>
                <w:kern w:val="0"/>
                <w:sz w:val="21"/>
                <w:szCs w:val="21"/>
                <w:highlight w:val="none"/>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a</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.擅自倾倒、堆放</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一般工业固体废物</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的</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w:t>
            </w:r>
          </w:p>
          <w:p w14:paraId="6177A888">
            <w:pPr>
              <w:keepNext w:val="0"/>
              <w:keepLines w:val="0"/>
              <w:widowControl/>
              <w:suppressLineNumbers w:val="0"/>
              <w:kinsoku/>
              <w:autoSpaceDE w:val="0"/>
              <w:autoSpaceDN w:val="0"/>
              <w:adjustRightInd w:val="0"/>
              <w:snapToGrid w:val="0"/>
              <w:jc w:val="both"/>
              <w:textAlignment w:val="baseline"/>
              <w:rPr>
                <w:rFonts w:hint="eastAsia" w:ascii="方正仿宋_GBK" w:hAnsi="方正仿宋_GBK" w:eastAsia="方正仿宋_GBK" w:cs="方正仿宋_GBK"/>
                <w:snapToGrid w:val="0"/>
                <w:color w:val="FF0000"/>
                <w:spacing w:val="-5"/>
                <w:kern w:val="0"/>
                <w:sz w:val="21"/>
                <w:szCs w:val="21"/>
                <w:highlight w:val="none"/>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b</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将一般工业固体废物</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提供或者委托</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给不具相应利用或处置能力的单位</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或其他生产经营者从事经营活动的</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w:t>
            </w:r>
          </w:p>
          <w:p w14:paraId="199FA5A2">
            <w:pPr>
              <w:keepNext w:val="0"/>
              <w:keepLines w:val="0"/>
              <w:widowControl/>
              <w:suppressLineNumbers w:val="0"/>
              <w:kinsoku/>
              <w:autoSpaceDE w:val="0"/>
              <w:autoSpaceDN w:val="0"/>
              <w:adjustRightInd w:val="0"/>
              <w:snapToGrid w:val="0"/>
              <w:jc w:val="both"/>
              <w:textAlignment w:val="baseline"/>
              <w:rPr>
                <w:rFonts w:hint="eastAsia" w:ascii="方正仿宋_GBK" w:hAnsi="方正仿宋_GBK" w:eastAsia="方正仿宋_GBK" w:cs="方正仿宋_GBK"/>
                <w:snapToGrid w:val="0"/>
                <w:color w:val="auto"/>
                <w:spacing w:val="-5"/>
                <w:kern w:val="0"/>
                <w:sz w:val="21"/>
                <w:szCs w:val="21"/>
                <w:highlight w:val="none"/>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c</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.未经批准擅自跨省（自治区、直辖市）转移</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一般工业固体废物</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的</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w:t>
            </w:r>
          </w:p>
          <w:p w14:paraId="7574C9D7">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d</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.由于</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一般工业固体</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废物管理不当导致突发环境事件发生的</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w:t>
            </w:r>
          </w:p>
        </w:tc>
        <w:tc>
          <w:tcPr>
            <w:tcW w:w="1059" w:type="dxa"/>
            <w:shd w:val="clear" w:color="auto" w:fill="auto"/>
            <w:vAlign w:val="center"/>
          </w:tcPr>
          <w:p w14:paraId="540B6D3F">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现场核查</w:t>
            </w:r>
          </w:p>
        </w:tc>
        <w:tc>
          <w:tcPr>
            <w:tcW w:w="680" w:type="dxa"/>
            <w:shd w:val="clear" w:color="auto" w:fill="auto"/>
            <w:vAlign w:val="center"/>
          </w:tcPr>
          <w:p w14:paraId="5F56B03F">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r>
      <w:tr w14:paraId="093D5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0" w:type="dxa"/>
            <w:vAlign w:val="center"/>
          </w:tcPr>
          <w:p w14:paraId="7B4A3944">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jc w:val="both"/>
              <w:textAlignment w:val="baseline"/>
              <w:rPr>
                <w:rFonts w:hint="eastAsia" w:ascii="方正仿宋_GBK" w:hAnsi="方正仿宋_GBK" w:eastAsia="方正仿宋_GBK" w:cs="方正仿宋_GBK"/>
                <w:b/>
                <w:bCs/>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t>综合评估</w:t>
            </w:r>
          </w:p>
        </w:tc>
        <w:tc>
          <w:tcPr>
            <w:tcW w:w="3455" w:type="dxa"/>
            <w:gridSpan w:val="4"/>
            <w:vAlign w:val="center"/>
          </w:tcPr>
          <w:p w14:paraId="30AB2777">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jc w:val="both"/>
              <w:textAlignment w:val="baseline"/>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t>评估得分：</w:t>
            </w:r>
          </w:p>
        </w:tc>
        <w:tc>
          <w:tcPr>
            <w:tcW w:w="7278" w:type="dxa"/>
            <w:gridSpan w:val="2"/>
            <w:vAlign w:val="center"/>
          </w:tcPr>
          <w:p w14:paraId="716C6350">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jc w:val="both"/>
              <w:textAlignment w:val="baseline"/>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t>达标情况：         达标</w:t>
            </w:r>
            <w:r>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sym w:font="Wingdings 2" w:char="00A3"/>
            </w:r>
            <w:r>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t xml:space="preserve">         基本达标</w:t>
            </w:r>
            <w:r>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sym w:font="Wingdings 2" w:char="00A3"/>
            </w:r>
            <w:r>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t xml:space="preserve">         不达标</w:t>
            </w:r>
            <w:r>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sym w:font="Wingdings 2" w:char="00A3"/>
            </w:r>
          </w:p>
        </w:tc>
        <w:tc>
          <w:tcPr>
            <w:tcW w:w="1739" w:type="dxa"/>
            <w:gridSpan w:val="2"/>
            <w:vAlign w:val="center"/>
          </w:tcPr>
          <w:p w14:paraId="5841A4BB">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jc w:val="both"/>
              <w:textAlignment w:val="baseline"/>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pPr>
          </w:p>
        </w:tc>
      </w:tr>
      <w:tr w14:paraId="53740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630" w:type="dxa"/>
            <w:vAlign w:val="center"/>
          </w:tcPr>
          <w:p w14:paraId="48CDCE83">
            <w:pPr>
              <w:keepNext w:val="0"/>
              <w:keepLines w:val="0"/>
              <w:widowControl/>
              <w:suppressLineNumbers w:val="0"/>
              <w:kinsoku/>
              <w:autoSpaceDE w:val="0"/>
              <w:autoSpaceDN w:val="0"/>
              <w:adjustRightInd w:val="0"/>
              <w:snapToGrid w:val="0"/>
              <w:jc w:val="center"/>
              <w:textAlignment w:val="baseline"/>
              <w:rPr>
                <w:rFonts w:hint="eastAsia" w:ascii="方正仿宋_GBK" w:hAnsi="方正仿宋_GBK" w:eastAsia="方正仿宋_GBK" w:cs="方正仿宋_GBK"/>
                <w:snapToGrid w:val="0"/>
                <w:color w:val="auto"/>
                <w:spacing w:val="-5"/>
                <w:kern w:val="0"/>
                <w:sz w:val="21"/>
                <w:szCs w:val="21"/>
                <w:highlight w:val="none"/>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说明</w:t>
            </w:r>
          </w:p>
          <w:p w14:paraId="29E10C39">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0733" w:type="dxa"/>
            <w:gridSpan w:val="6"/>
            <w:vAlign w:val="center"/>
          </w:tcPr>
          <w:p w14:paraId="363802A4">
            <w:pPr>
              <w:keepNext w:val="0"/>
              <w:keepLines w:val="0"/>
              <w:widowControl/>
              <w:suppressLineNumbers w:val="0"/>
              <w:kinsoku/>
              <w:autoSpaceDE w:val="0"/>
              <w:autoSpaceDN w:val="0"/>
              <w:adjustRightInd w:val="0"/>
              <w:snapToGrid w:val="0"/>
              <w:jc w:val="both"/>
              <w:textAlignment w:val="baseline"/>
              <w:rPr>
                <w:rFonts w:hint="eastAsia" w:ascii="方正仿宋_GBK" w:hAnsi="方正仿宋_GBK" w:eastAsia="方正仿宋_GBK" w:cs="方正仿宋_GBK"/>
                <w:snapToGrid w:val="0"/>
                <w:color w:val="auto"/>
                <w:spacing w:val="-5"/>
                <w:kern w:val="0"/>
                <w:sz w:val="21"/>
                <w:szCs w:val="21"/>
                <w:highlight w:val="none"/>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1.工作组应当至少包括2名具有环境执法证件的人员，可邀请专家参与检查；</w:t>
            </w:r>
          </w:p>
          <w:p w14:paraId="75EB074F">
            <w:pPr>
              <w:keepNext w:val="0"/>
              <w:keepLines w:val="0"/>
              <w:widowControl/>
              <w:suppressLineNumbers w:val="0"/>
              <w:kinsoku/>
              <w:autoSpaceDE w:val="0"/>
              <w:autoSpaceDN w:val="0"/>
              <w:adjustRightInd w:val="0"/>
              <w:snapToGrid w:val="0"/>
              <w:jc w:val="both"/>
              <w:textAlignment w:val="baseline"/>
              <w:rPr>
                <w:rFonts w:hint="eastAsia" w:ascii="方正仿宋_GBK" w:hAnsi="方正仿宋_GBK" w:eastAsia="方正仿宋_GBK" w:cs="方正仿宋_GBK"/>
                <w:snapToGrid w:val="0"/>
                <w:color w:val="auto"/>
                <w:spacing w:val="-5"/>
                <w:kern w:val="0"/>
                <w:sz w:val="21"/>
                <w:szCs w:val="21"/>
                <w:highlight w:val="none"/>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2.评估人员要做好记录并签字；</w:t>
            </w:r>
          </w:p>
          <w:p w14:paraId="54EBBA76">
            <w:pPr>
              <w:keepNext w:val="0"/>
              <w:keepLines w:val="0"/>
              <w:widowControl/>
              <w:suppressLineNumbers w:val="0"/>
              <w:kinsoku/>
              <w:autoSpaceDE w:val="0"/>
              <w:autoSpaceDN w:val="0"/>
              <w:adjustRightInd w:val="0"/>
              <w:snapToGrid w:val="0"/>
              <w:jc w:val="both"/>
              <w:textAlignment w:val="baseline"/>
              <w:rPr>
                <w:rFonts w:hint="eastAsia" w:ascii="方正仿宋_GBK" w:hAnsi="方正仿宋_GBK" w:eastAsia="方正仿宋_GBK" w:cs="方正仿宋_GBK"/>
                <w:snapToGrid w:val="0"/>
                <w:color w:val="auto"/>
                <w:spacing w:val="-5"/>
                <w:kern w:val="0"/>
                <w:sz w:val="21"/>
                <w:szCs w:val="21"/>
                <w:highlight w:val="none"/>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3.对一般工业固体废物流向、贮存、利用、处置等信息，要核查原始凭证；</w:t>
            </w:r>
          </w:p>
          <w:p w14:paraId="2AA341FC">
            <w:pPr>
              <w:keepNext w:val="0"/>
              <w:keepLines w:val="0"/>
              <w:widowControl/>
              <w:suppressLineNumbers w:val="0"/>
              <w:kinsoku/>
              <w:autoSpaceDE w:val="0"/>
              <w:autoSpaceDN w:val="0"/>
              <w:adjustRightInd w:val="0"/>
              <w:snapToGrid w:val="0"/>
              <w:jc w:val="both"/>
              <w:textAlignment w:val="baseline"/>
              <w:rPr>
                <w:rFonts w:hint="eastAsia" w:ascii="方正仿宋_GBK" w:hAnsi="方正仿宋_GBK" w:eastAsia="方正仿宋_GBK" w:cs="方正仿宋_GBK"/>
                <w:snapToGrid w:val="0"/>
                <w:color w:val="auto"/>
                <w:spacing w:val="-5"/>
                <w:kern w:val="0"/>
                <w:sz w:val="21"/>
                <w:szCs w:val="21"/>
                <w:highlight w:val="none"/>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4.根据评分要点给出得分；</w:t>
            </w:r>
          </w:p>
          <w:p w14:paraId="171C1EC6">
            <w:pPr>
              <w:keepNext w:val="0"/>
              <w:keepLines w:val="0"/>
              <w:widowControl/>
              <w:suppressLineNumbers w:val="0"/>
              <w:kinsoku/>
              <w:autoSpaceDE w:val="0"/>
              <w:autoSpaceDN w:val="0"/>
              <w:adjustRightInd w:val="0"/>
              <w:snapToGrid w:val="0"/>
              <w:jc w:val="both"/>
              <w:textAlignment w:val="baseline"/>
              <w:rPr>
                <w:rFonts w:hint="eastAsia" w:ascii="方正仿宋_GBK" w:hAnsi="方正仿宋_GBK" w:eastAsia="方正仿宋_GBK" w:cs="方正仿宋_GBK"/>
                <w:snapToGrid w:val="0"/>
                <w:color w:val="auto"/>
                <w:spacing w:val="-5"/>
                <w:kern w:val="0"/>
                <w:sz w:val="21"/>
                <w:szCs w:val="21"/>
                <w:highlight w:val="none"/>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5.备注栏可对评估情况进行简要记录；</w:t>
            </w:r>
          </w:p>
          <w:p w14:paraId="7957B54E">
            <w:pPr>
              <w:keepNext w:val="0"/>
              <w:keepLines w:val="0"/>
              <w:widowControl/>
              <w:suppressLineNumbers w:val="0"/>
              <w:kinsoku/>
              <w:autoSpaceDE w:val="0"/>
              <w:autoSpaceDN w:val="0"/>
              <w:adjustRightInd w:val="0"/>
              <w:snapToGrid w:val="0"/>
              <w:jc w:val="both"/>
              <w:textAlignment w:val="baseline"/>
              <w:rPr>
                <w:rFonts w:hint="eastAsia" w:ascii="方正仿宋_GBK" w:hAnsi="方正仿宋_GBK" w:eastAsia="方正仿宋_GBK" w:cs="方正仿宋_GBK"/>
                <w:snapToGrid w:val="0"/>
                <w:color w:val="auto"/>
                <w:spacing w:val="-5"/>
                <w:kern w:val="0"/>
                <w:sz w:val="21"/>
                <w:szCs w:val="21"/>
                <w:highlight w:val="none"/>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6.加分项目以当年是否开展为准；</w:t>
            </w:r>
          </w:p>
          <w:p w14:paraId="5221F5BD">
            <w:pPr>
              <w:keepNext w:val="0"/>
              <w:keepLines w:val="0"/>
              <w:widowControl/>
              <w:suppressLineNumbers w:val="0"/>
              <w:kinsoku/>
              <w:autoSpaceDE w:val="0"/>
              <w:autoSpaceDN w:val="0"/>
              <w:adjustRightInd w:val="0"/>
              <w:snapToGrid w:val="0"/>
              <w:jc w:val="both"/>
              <w:textAlignment w:val="baseline"/>
              <w:rPr>
                <w:rFonts w:hint="eastAsia" w:ascii="方正仿宋_GBK" w:hAnsi="方正仿宋_GBK" w:eastAsia="方正仿宋_GBK" w:cs="方正仿宋_GBK"/>
                <w:snapToGrid w:val="0"/>
                <w:color w:val="auto"/>
                <w:spacing w:val="-5"/>
                <w:kern w:val="0"/>
                <w:sz w:val="21"/>
                <w:szCs w:val="21"/>
                <w:highlight w:val="none"/>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7.否决项，即该项不得分，则评估结果为不达标；</w:t>
            </w:r>
          </w:p>
          <w:p w14:paraId="75693AE3">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8.综合评估标准：</w:t>
            </w:r>
          </w:p>
          <w:p w14:paraId="6DBA7E48">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（a）无自行利用或处置设施（含尾矿库）的产废单位满分为40分，32（含）</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sym w:font="Symbol" w:char="002D"/>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40分为达标，24（含）</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sym w:font="Symbol" w:char="002D"/>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32分为基本达标，24分以下为不达标。</w:t>
            </w:r>
          </w:p>
          <w:p w14:paraId="50DA3E1B">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（b）有自行利用或处置设施（含尾矿库）的产废单位满分为60分，48（含）</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sym w:font="Symbol" w:char="002D"/>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60分为达标，36（含）</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sym w:font="Symbol" w:char="002D"/>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48分为基本达标，36分以下为不达标。</w:t>
            </w:r>
          </w:p>
        </w:tc>
        <w:tc>
          <w:tcPr>
            <w:tcW w:w="1739" w:type="dxa"/>
            <w:gridSpan w:val="2"/>
            <w:vAlign w:val="center"/>
          </w:tcPr>
          <w:p w14:paraId="29A26413">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r>
    </w:tbl>
    <w:p w14:paraId="21A0BE5D">
      <w:pPr>
        <w:rPr>
          <w:rFonts w:hint="eastAsia" w:ascii="方正仿宋_GBK" w:hAnsi="方正仿宋_GBK" w:eastAsia="方正仿宋_GBK" w:cs="方正仿宋_GBK"/>
          <w:kern w:val="0"/>
          <w:sz w:val="32"/>
          <w:szCs w:val="32"/>
          <w:shd w:val="clear" w:color="auto" w:fill="FFFFFF"/>
          <w:lang w:val="en-US" w:eastAsia="zh-CN" w:bidi="ar-SA"/>
        </w:rPr>
      </w:pPr>
      <w:r>
        <w:rPr>
          <w:rFonts w:hint="eastAsia" w:ascii="方正仿宋_GBK" w:hAnsi="方正仿宋_GBK" w:eastAsia="方正仿宋_GBK" w:cs="方正仿宋_GBK"/>
          <w:kern w:val="0"/>
          <w:sz w:val="32"/>
          <w:szCs w:val="32"/>
          <w:shd w:val="clear" w:color="auto" w:fill="FFFFFF"/>
          <w:lang w:val="en-US" w:eastAsia="zh-CN" w:bidi="ar-SA"/>
        </w:rPr>
        <w:br w:type="page"/>
      </w:r>
    </w:p>
    <w:p w14:paraId="5048B87C">
      <w:pPr>
        <w:keepNext w:val="0"/>
        <w:keepLines w:val="0"/>
        <w:pageBreakBefore w:val="0"/>
        <w:widowControl/>
        <w:kinsoku w:val="0"/>
        <w:wordWrap/>
        <w:overflowPunct/>
        <w:topLinePunct w:val="0"/>
        <w:autoSpaceDE w:val="0"/>
        <w:autoSpaceDN w:val="0"/>
        <w:bidi w:val="0"/>
        <w:adjustRightInd w:val="0"/>
        <w:snapToGrid w:val="0"/>
        <w:spacing w:before="157" w:beforeLines="50" w:after="313" w:afterLines="100" w:line="600" w:lineRule="atLeast"/>
        <w:ind w:left="0"/>
        <w:jc w:val="left"/>
        <w:textAlignment w:val="baseline"/>
        <w:rPr>
          <w:rFonts w:hint="eastAsia" w:ascii="方正黑体_GBK" w:hAnsi="方正黑体_GBK" w:eastAsia="方正黑体_GBK" w:cs="方正黑体_GBK"/>
          <w:b w:val="0"/>
          <w:bCs w:val="0"/>
          <w:snapToGrid w:val="0"/>
          <w:color w:val="auto"/>
          <w:spacing w:val="-3"/>
          <w:kern w:val="0"/>
          <w:sz w:val="32"/>
          <w:szCs w:val="32"/>
          <w:highlight w:val="none"/>
          <w:lang w:eastAsia="zh-CN"/>
          <w14:ligatures w14:val="none"/>
        </w:rPr>
      </w:pPr>
      <w:r>
        <w:rPr>
          <w:rFonts w:hint="eastAsia" w:ascii="方正黑体_GBK" w:hAnsi="方正黑体_GBK" w:eastAsia="方正黑体_GBK" w:cs="方正黑体_GBK"/>
          <w:b w:val="0"/>
          <w:bCs w:val="0"/>
          <w:snapToGrid w:val="0"/>
          <w:color w:val="auto"/>
          <w:spacing w:val="-3"/>
          <w:kern w:val="0"/>
          <w:sz w:val="32"/>
          <w:szCs w:val="32"/>
          <w:highlight w:val="none"/>
          <w:lang w:eastAsia="en-US"/>
          <w14:ligatures w14:val="none"/>
        </w:rPr>
        <w:t>附</w:t>
      </w:r>
      <w:r>
        <w:rPr>
          <w:rFonts w:hint="eastAsia" w:ascii="方正黑体_GBK" w:hAnsi="方正黑体_GBK" w:eastAsia="方正黑体_GBK" w:cs="方正黑体_GBK"/>
          <w:b w:val="0"/>
          <w:bCs w:val="0"/>
          <w:snapToGrid w:val="0"/>
          <w:color w:val="auto"/>
          <w:spacing w:val="-3"/>
          <w:kern w:val="0"/>
          <w:sz w:val="32"/>
          <w:szCs w:val="32"/>
          <w:highlight w:val="none"/>
          <w:lang w:val="en-US" w:eastAsia="zh-CN"/>
          <w14:ligatures w14:val="none"/>
        </w:rPr>
        <w:t>件2</w:t>
      </w:r>
    </w:p>
    <w:p w14:paraId="1AEC8AD8">
      <w:pPr>
        <w:keepNext w:val="0"/>
        <w:keepLines w:val="0"/>
        <w:widowControl/>
        <w:suppressLineNumbers w:val="0"/>
        <w:kinsoku w:val="0"/>
        <w:autoSpaceDE/>
        <w:autoSpaceDN/>
        <w:adjustRightInd w:val="0"/>
        <w:snapToGrid w:val="0"/>
        <w:spacing w:before="317" w:beforeLines="100" w:after="317" w:afterLines="100" w:line="600" w:lineRule="atLeast"/>
        <w:jc w:val="center"/>
        <w:textAlignment w:val="baseline"/>
        <w:rPr>
          <w:rFonts w:hint="eastAsia" w:ascii="方正小标宋_GBK" w:hAnsi="方正小标宋_GBK" w:eastAsia="方正小标宋_GBK" w:cs="方正小标宋_GBK"/>
          <w:snapToGrid w:val="0"/>
          <w:color w:val="auto"/>
          <w:spacing w:val="7"/>
          <w:kern w:val="0"/>
          <w:sz w:val="32"/>
          <w:szCs w:val="32"/>
          <w:highlight w:val="none"/>
          <w:lang w:eastAsia="en-US" w:bidi="ar"/>
          <w14:ligatures w14:val="none"/>
        </w:rPr>
      </w:pPr>
      <w:r>
        <w:rPr>
          <w:rFonts w:hint="eastAsia" w:ascii="方正小标宋_GBK" w:hAnsi="方正小标宋_GBK" w:eastAsia="方正小标宋_GBK" w:cs="方正小标宋_GBK"/>
          <w:snapToGrid w:val="0"/>
          <w:color w:val="auto"/>
          <w:spacing w:val="7"/>
          <w:kern w:val="0"/>
          <w:sz w:val="32"/>
          <w:szCs w:val="32"/>
          <w:highlight w:val="none"/>
          <w:lang w:val="en-US" w:eastAsia="en-US" w:bidi="ar"/>
          <w14:ligatures w14:val="none"/>
        </w:rPr>
        <w:t>被评估单位情况记录表</w:t>
      </w:r>
    </w:p>
    <w:tbl>
      <w:tblPr>
        <w:tblStyle w:val="9"/>
        <w:tblW w:w="129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107"/>
        <w:gridCol w:w="1100"/>
        <w:gridCol w:w="1914"/>
        <w:gridCol w:w="4021"/>
        <w:gridCol w:w="2000"/>
        <w:gridCol w:w="879"/>
        <w:gridCol w:w="1253"/>
      </w:tblGrid>
      <w:tr w14:paraId="6B647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7" w:type="dxa"/>
            <w:vAlign w:val="center"/>
          </w:tcPr>
          <w:p w14:paraId="4A074565">
            <w:pPr>
              <w:spacing w:before="157" w:beforeLines="50" w:line="360" w:lineRule="auto"/>
              <w:jc w:val="center"/>
              <w:rPr>
                <w:rFonts w:hint="eastAsia" w:ascii="方正黑体_GBK" w:hAnsi="方正黑体_GBK" w:eastAsia="方正黑体_GBK" w:cs="方正黑体_GBK"/>
                <w:b w:val="0"/>
                <w:bCs w:val="0"/>
                <w:color w:val="auto"/>
                <w:sz w:val="21"/>
                <w:szCs w:val="21"/>
                <w:highlight w:val="none"/>
                <w:vertAlign w:val="baseline"/>
                <w:lang w:val="en-US" w:eastAsia="zh-CN"/>
              </w:rPr>
            </w:pPr>
            <w:r>
              <w:rPr>
                <w:rFonts w:hint="eastAsia" w:ascii="方正黑体_GBK" w:hAnsi="方正黑体_GBK" w:eastAsia="方正黑体_GBK" w:cs="方正黑体_GBK"/>
                <w:b w:val="0"/>
                <w:bCs w:val="0"/>
                <w:color w:val="auto"/>
                <w:sz w:val="21"/>
                <w:szCs w:val="21"/>
                <w:highlight w:val="none"/>
                <w:vertAlign w:val="baseline"/>
                <w:lang w:val="en-US" w:eastAsia="zh-CN"/>
              </w:rPr>
              <w:t>序号</w:t>
            </w:r>
          </w:p>
        </w:tc>
        <w:tc>
          <w:tcPr>
            <w:tcW w:w="1107" w:type="dxa"/>
            <w:vAlign w:val="center"/>
          </w:tcPr>
          <w:p w14:paraId="5F5D7E8D">
            <w:pPr>
              <w:spacing w:before="157" w:beforeLines="50" w:line="360" w:lineRule="auto"/>
              <w:jc w:val="center"/>
              <w:rPr>
                <w:rFonts w:hint="eastAsia" w:ascii="方正黑体_GBK" w:hAnsi="方正黑体_GBK" w:eastAsia="方正黑体_GBK" w:cs="方正黑体_GBK"/>
                <w:b w:val="0"/>
                <w:bCs w:val="0"/>
                <w:color w:val="auto"/>
                <w:sz w:val="21"/>
                <w:szCs w:val="21"/>
                <w:highlight w:val="none"/>
                <w:vertAlign w:val="baseline"/>
                <w:lang w:val="en-US" w:eastAsia="zh-CN"/>
              </w:rPr>
            </w:pPr>
            <w:r>
              <w:rPr>
                <w:rFonts w:hint="eastAsia" w:ascii="方正黑体_GBK" w:hAnsi="方正黑体_GBK" w:eastAsia="方正黑体_GBK" w:cs="方正黑体_GBK"/>
                <w:b w:val="0"/>
                <w:bCs w:val="0"/>
                <w:color w:val="auto"/>
                <w:sz w:val="21"/>
                <w:szCs w:val="21"/>
                <w:highlight w:val="none"/>
                <w:vertAlign w:val="baseline"/>
                <w:lang w:val="en-US" w:eastAsia="zh-CN"/>
              </w:rPr>
              <w:t>单位名称</w:t>
            </w:r>
          </w:p>
        </w:tc>
        <w:tc>
          <w:tcPr>
            <w:tcW w:w="1100" w:type="dxa"/>
            <w:vAlign w:val="center"/>
          </w:tcPr>
          <w:p w14:paraId="696297C2">
            <w:pPr>
              <w:spacing w:before="157" w:beforeLines="50" w:line="360" w:lineRule="auto"/>
              <w:jc w:val="center"/>
              <w:rPr>
                <w:rFonts w:hint="eastAsia" w:ascii="方正黑体_GBK" w:hAnsi="方正黑体_GBK" w:eastAsia="方正黑体_GBK" w:cs="方正黑体_GBK"/>
                <w:b w:val="0"/>
                <w:bCs w:val="0"/>
                <w:color w:val="auto"/>
                <w:sz w:val="21"/>
                <w:szCs w:val="21"/>
                <w:highlight w:val="none"/>
                <w:vertAlign w:val="baseline"/>
                <w:lang w:val="en-US" w:eastAsia="zh-CN"/>
              </w:rPr>
            </w:pPr>
            <w:r>
              <w:rPr>
                <w:rFonts w:hint="eastAsia" w:ascii="方正黑体_GBK" w:hAnsi="方正黑体_GBK" w:eastAsia="方正黑体_GBK" w:cs="方正黑体_GBK"/>
                <w:b w:val="0"/>
                <w:bCs w:val="0"/>
                <w:color w:val="auto"/>
                <w:sz w:val="21"/>
                <w:szCs w:val="21"/>
                <w:highlight w:val="none"/>
                <w:vertAlign w:val="baseline"/>
                <w:lang w:val="en-US" w:eastAsia="zh-CN"/>
              </w:rPr>
              <w:t>评估时间</w:t>
            </w:r>
          </w:p>
        </w:tc>
        <w:tc>
          <w:tcPr>
            <w:tcW w:w="1914" w:type="dxa"/>
            <w:vAlign w:val="center"/>
          </w:tcPr>
          <w:p w14:paraId="17AF91AE">
            <w:pPr>
              <w:spacing w:before="157" w:beforeLines="50" w:line="360" w:lineRule="auto"/>
              <w:jc w:val="center"/>
              <w:rPr>
                <w:rFonts w:hint="eastAsia" w:ascii="方正黑体_GBK" w:hAnsi="方正黑体_GBK" w:eastAsia="方正黑体_GBK" w:cs="方正黑体_GBK"/>
                <w:b w:val="0"/>
                <w:bCs w:val="0"/>
                <w:color w:val="auto"/>
                <w:sz w:val="21"/>
                <w:szCs w:val="21"/>
                <w:highlight w:val="none"/>
                <w:vertAlign w:val="baseline"/>
                <w:lang w:val="en-US" w:eastAsia="zh-CN"/>
              </w:rPr>
            </w:pPr>
            <w:r>
              <w:rPr>
                <w:rFonts w:hint="eastAsia" w:ascii="方正黑体_GBK" w:hAnsi="方正黑体_GBK" w:eastAsia="方正黑体_GBK" w:cs="方正黑体_GBK"/>
                <w:b w:val="0"/>
                <w:bCs w:val="0"/>
                <w:color w:val="auto"/>
                <w:sz w:val="21"/>
                <w:szCs w:val="21"/>
                <w:highlight w:val="none"/>
                <w:vertAlign w:val="baseline"/>
                <w:lang w:val="en-US" w:eastAsia="zh-CN"/>
              </w:rPr>
              <w:t>单位基本情况</w:t>
            </w:r>
          </w:p>
        </w:tc>
        <w:tc>
          <w:tcPr>
            <w:tcW w:w="4021" w:type="dxa"/>
            <w:vAlign w:val="center"/>
          </w:tcPr>
          <w:p w14:paraId="64B088AD">
            <w:pPr>
              <w:spacing w:before="157" w:beforeLines="50" w:line="360" w:lineRule="auto"/>
              <w:jc w:val="center"/>
              <w:rPr>
                <w:rFonts w:hint="eastAsia" w:ascii="方正黑体_GBK" w:hAnsi="方正黑体_GBK" w:eastAsia="方正黑体_GBK" w:cs="方正黑体_GBK"/>
                <w:b w:val="0"/>
                <w:bCs w:val="0"/>
                <w:color w:val="auto"/>
                <w:sz w:val="21"/>
                <w:szCs w:val="21"/>
                <w:highlight w:val="none"/>
                <w:vertAlign w:val="baseline"/>
                <w:lang w:val="en-US" w:eastAsia="zh-CN"/>
              </w:rPr>
            </w:pPr>
            <w:r>
              <w:rPr>
                <w:rFonts w:hint="eastAsia" w:ascii="方正黑体_GBK" w:hAnsi="方正黑体_GBK" w:eastAsia="方正黑体_GBK" w:cs="方正黑体_GBK"/>
                <w:b w:val="0"/>
                <w:bCs w:val="0"/>
                <w:color w:val="auto"/>
                <w:sz w:val="21"/>
                <w:szCs w:val="21"/>
                <w:highlight w:val="none"/>
                <w:vertAlign w:val="baseline"/>
                <w:lang w:val="en-US" w:eastAsia="zh-CN"/>
              </w:rPr>
              <w:t>一般工业固体废物产生情况</w:t>
            </w:r>
          </w:p>
        </w:tc>
        <w:tc>
          <w:tcPr>
            <w:tcW w:w="2000" w:type="dxa"/>
            <w:vAlign w:val="center"/>
          </w:tcPr>
          <w:p w14:paraId="1E71FAFB">
            <w:pPr>
              <w:spacing w:before="157" w:beforeLines="50" w:line="360" w:lineRule="auto"/>
              <w:jc w:val="center"/>
              <w:rPr>
                <w:rFonts w:hint="eastAsia" w:ascii="方正黑体_GBK" w:hAnsi="方正黑体_GBK" w:eastAsia="方正黑体_GBK" w:cs="方正黑体_GBK"/>
                <w:b w:val="0"/>
                <w:bCs w:val="0"/>
                <w:color w:val="auto"/>
                <w:sz w:val="21"/>
                <w:szCs w:val="21"/>
                <w:highlight w:val="none"/>
                <w:vertAlign w:val="baseline"/>
                <w:lang w:val="en-US" w:eastAsia="zh-CN"/>
              </w:rPr>
            </w:pPr>
            <w:r>
              <w:rPr>
                <w:rFonts w:hint="eastAsia" w:ascii="方正黑体_GBK" w:hAnsi="方正黑体_GBK" w:eastAsia="方正黑体_GBK" w:cs="方正黑体_GBK"/>
                <w:b w:val="0"/>
                <w:bCs w:val="0"/>
                <w:color w:val="auto"/>
                <w:sz w:val="21"/>
                <w:szCs w:val="21"/>
                <w:highlight w:val="none"/>
                <w:vertAlign w:val="baseline"/>
                <w:lang w:val="en-US" w:eastAsia="zh-CN"/>
              </w:rPr>
              <w:t>评估发现的问题</w:t>
            </w:r>
          </w:p>
        </w:tc>
        <w:tc>
          <w:tcPr>
            <w:tcW w:w="879" w:type="dxa"/>
            <w:vAlign w:val="center"/>
          </w:tcPr>
          <w:p w14:paraId="4954A312">
            <w:pPr>
              <w:spacing w:before="157" w:beforeLines="50" w:line="360" w:lineRule="auto"/>
              <w:jc w:val="center"/>
              <w:rPr>
                <w:rFonts w:hint="eastAsia" w:ascii="方正黑体_GBK" w:hAnsi="方正黑体_GBK" w:eastAsia="方正黑体_GBK" w:cs="方正黑体_GBK"/>
                <w:b w:val="0"/>
                <w:bCs w:val="0"/>
                <w:color w:val="auto"/>
                <w:sz w:val="21"/>
                <w:szCs w:val="21"/>
                <w:highlight w:val="none"/>
                <w:vertAlign w:val="baseline"/>
                <w:lang w:val="en-US" w:eastAsia="zh-CN"/>
              </w:rPr>
            </w:pPr>
            <w:r>
              <w:rPr>
                <w:rFonts w:hint="eastAsia" w:ascii="方正黑体_GBK" w:hAnsi="方正黑体_GBK" w:eastAsia="方正黑体_GBK" w:cs="方正黑体_GBK"/>
                <w:b w:val="0"/>
                <w:bCs w:val="0"/>
                <w:color w:val="auto"/>
                <w:sz w:val="21"/>
                <w:szCs w:val="21"/>
                <w:highlight w:val="none"/>
                <w:vertAlign w:val="baseline"/>
                <w:lang w:val="en-US" w:eastAsia="zh-CN"/>
              </w:rPr>
              <w:t>备注</w:t>
            </w:r>
          </w:p>
        </w:tc>
        <w:tc>
          <w:tcPr>
            <w:tcW w:w="1253" w:type="dxa"/>
            <w:vAlign w:val="center"/>
          </w:tcPr>
          <w:p w14:paraId="350E0A67">
            <w:pPr>
              <w:spacing w:before="157" w:beforeLines="50" w:line="360" w:lineRule="auto"/>
              <w:jc w:val="center"/>
              <w:rPr>
                <w:rFonts w:hint="eastAsia" w:ascii="方正黑体_GBK" w:hAnsi="方正黑体_GBK" w:eastAsia="方正黑体_GBK" w:cs="方正黑体_GBK"/>
                <w:b w:val="0"/>
                <w:bCs w:val="0"/>
                <w:color w:val="auto"/>
                <w:sz w:val="21"/>
                <w:szCs w:val="21"/>
                <w:highlight w:val="none"/>
                <w:vertAlign w:val="baseline"/>
                <w:lang w:val="en-US" w:eastAsia="zh-CN"/>
              </w:rPr>
            </w:pPr>
            <w:r>
              <w:rPr>
                <w:rFonts w:hint="eastAsia" w:ascii="方正黑体_GBK" w:hAnsi="方正黑体_GBK" w:eastAsia="方正黑体_GBK" w:cs="方正黑体_GBK"/>
                <w:b w:val="0"/>
                <w:bCs w:val="0"/>
                <w:color w:val="auto"/>
                <w:sz w:val="21"/>
                <w:szCs w:val="21"/>
                <w:highlight w:val="none"/>
                <w:vertAlign w:val="baseline"/>
                <w:lang w:val="en-US" w:eastAsia="zh-CN"/>
              </w:rPr>
              <w:t>评估人员</w:t>
            </w:r>
          </w:p>
        </w:tc>
      </w:tr>
      <w:tr w14:paraId="501D0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7" w:type="dxa"/>
            <w:vAlign w:val="center"/>
          </w:tcPr>
          <w:p w14:paraId="418DDCC9">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r>
              <w:rPr>
                <w:rFonts w:hint="eastAsia" w:ascii="方正仿宋_GBK" w:hAnsi="方正仿宋_GBK" w:eastAsia="方正仿宋_GBK" w:cs="方正仿宋_GBK"/>
                <w:b w:val="0"/>
                <w:bCs w:val="0"/>
                <w:color w:val="auto"/>
                <w:sz w:val="21"/>
                <w:szCs w:val="21"/>
                <w:highlight w:val="none"/>
                <w:vertAlign w:val="baseline"/>
                <w:lang w:val="en-US" w:eastAsia="zh-CN"/>
              </w:rPr>
              <w:t>1</w:t>
            </w:r>
          </w:p>
        </w:tc>
        <w:tc>
          <w:tcPr>
            <w:tcW w:w="1107" w:type="dxa"/>
            <w:vAlign w:val="center"/>
          </w:tcPr>
          <w:p w14:paraId="204C47C7">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1100" w:type="dxa"/>
            <w:vAlign w:val="center"/>
          </w:tcPr>
          <w:p w14:paraId="1BA11ABA">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1914" w:type="dxa"/>
            <w:vAlign w:val="center"/>
          </w:tcPr>
          <w:p w14:paraId="2C29D250">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r>
              <w:rPr>
                <w:rFonts w:hint="eastAsia" w:ascii="方正仿宋_GBK" w:hAnsi="方正仿宋_GBK" w:eastAsia="方正仿宋_GBK" w:cs="方正仿宋_GBK"/>
                <w:b w:val="0"/>
                <w:bCs w:val="0"/>
                <w:color w:val="auto"/>
                <w:sz w:val="21"/>
                <w:szCs w:val="21"/>
                <w:highlight w:val="none"/>
                <w:vertAlign w:val="baseline"/>
                <w:lang w:val="en-US" w:eastAsia="zh-CN"/>
              </w:rPr>
              <w:t>（主要产品产量、简单工艺描述）</w:t>
            </w:r>
          </w:p>
        </w:tc>
        <w:tc>
          <w:tcPr>
            <w:tcW w:w="4021" w:type="dxa"/>
            <w:vAlign w:val="center"/>
          </w:tcPr>
          <w:p w14:paraId="03EC4BD4">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r>
              <w:rPr>
                <w:rFonts w:hint="eastAsia" w:ascii="方正仿宋_GBK" w:hAnsi="方正仿宋_GBK" w:eastAsia="方正仿宋_GBK" w:cs="方正仿宋_GBK"/>
                <w:b w:val="0"/>
                <w:bCs w:val="0"/>
                <w:color w:val="auto"/>
                <w:sz w:val="21"/>
                <w:szCs w:val="21"/>
                <w:highlight w:val="none"/>
                <w:vertAlign w:val="baseline"/>
                <w:lang w:val="en-US" w:eastAsia="zh-CN"/>
              </w:rPr>
              <w:t>（一般工业固体废物种类和大致产生量）</w:t>
            </w:r>
          </w:p>
        </w:tc>
        <w:tc>
          <w:tcPr>
            <w:tcW w:w="2000" w:type="dxa"/>
            <w:vAlign w:val="center"/>
          </w:tcPr>
          <w:p w14:paraId="3060D497">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879" w:type="dxa"/>
            <w:vAlign w:val="center"/>
          </w:tcPr>
          <w:p w14:paraId="3E8E0913">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1253" w:type="dxa"/>
            <w:vAlign w:val="center"/>
          </w:tcPr>
          <w:p w14:paraId="2123DB8F">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r>
      <w:tr w14:paraId="74AE0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7" w:type="dxa"/>
            <w:vAlign w:val="center"/>
          </w:tcPr>
          <w:p w14:paraId="4CD7CCB5">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r>
              <w:rPr>
                <w:rFonts w:hint="eastAsia" w:ascii="方正仿宋_GBK" w:hAnsi="方正仿宋_GBK" w:eastAsia="方正仿宋_GBK" w:cs="方正仿宋_GBK"/>
                <w:b w:val="0"/>
                <w:bCs w:val="0"/>
                <w:color w:val="auto"/>
                <w:sz w:val="21"/>
                <w:szCs w:val="21"/>
                <w:highlight w:val="none"/>
                <w:vertAlign w:val="baseline"/>
                <w:lang w:val="en-US" w:eastAsia="zh-CN"/>
              </w:rPr>
              <w:t>2</w:t>
            </w:r>
          </w:p>
        </w:tc>
        <w:tc>
          <w:tcPr>
            <w:tcW w:w="1107" w:type="dxa"/>
            <w:vAlign w:val="center"/>
          </w:tcPr>
          <w:p w14:paraId="07427A59">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1100" w:type="dxa"/>
            <w:vAlign w:val="center"/>
          </w:tcPr>
          <w:p w14:paraId="39FC5954">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1914" w:type="dxa"/>
            <w:vAlign w:val="center"/>
          </w:tcPr>
          <w:p w14:paraId="5E245CB3">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4021" w:type="dxa"/>
            <w:vAlign w:val="center"/>
          </w:tcPr>
          <w:p w14:paraId="585C3712">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2000" w:type="dxa"/>
            <w:vAlign w:val="center"/>
          </w:tcPr>
          <w:p w14:paraId="2ACD0E4F">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879" w:type="dxa"/>
            <w:vAlign w:val="center"/>
          </w:tcPr>
          <w:p w14:paraId="60890289">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1253" w:type="dxa"/>
            <w:vAlign w:val="center"/>
          </w:tcPr>
          <w:p w14:paraId="1BF36FDD">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r>
      <w:tr w14:paraId="7A8C9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7" w:type="dxa"/>
            <w:vAlign w:val="center"/>
          </w:tcPr>
          <w:p w14:paraId="7AEEF27A">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r>
              <w:rPr>
                <w:rFonts w:hint="eastAsia" w:ascii="方正仿宋_GBK" w:hAnsi="方正仿宋_GBK" w:eastAsia="方正仿宋_GBK" w:cs="方正仿宋_GBK"/>
                <w:b w:val="0"/>
                <w:bCs w:val="0"/>
                <w:color w:val="auto"/>
                <w:sz w:val="21"/>
                <w:szCs w:val="21"/>
                <w:highlight w:val="none"/>
                <w:vertAlign w:val="baseline"/>
                <w:lang w:val="en-US" w:eastAsia="zh-CN"/>
              </w:rPr>
              <w:t>...</w:t>
            </w:r>
          </w:p>
        </w:tc>
        <w:tc>
          <w:tcPr>
            <w:tcW w:w="1107" w:type="dxa"/>
            <w:vAlign w:val="center"/>
          </w:tcPr>
          <w:p w14:paraId="3AA0D82D">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1100" w:type="dxa"/>
            <w:vAlign w:val="center"/>
          </w:tcPr>
          <w:p w14:paraId="1047FD04">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1914" w:type="dxa"/>
            <w:vAlign w:val="center"/>
          </w:tcPr>
          <w:p w14:paraId="1EB0D399">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4021" w:type="dxa"/>
            <w:vAlign w:val="center"/>
          </w:tcPr>
          <w:p w14:paraId="1FC7F6E8">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2000" w:type="dxa"/>
            <w:vAlign w:val="center"/>
          </w:tcPr>
          <w:p w14:paraId="13191568">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879" w:type="dxa"/>
            <w:vAlign w:val="center"/>
          </w:tcPr>
          <w:p w14:paraId="510C8546">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1253" w:type="dxa"/>
            <w:vAlign w:val="center"/>
          </w:tcPr>
          <w:p w14:paraId="7D69E247">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r>
    </w:tbl>
    <w:p w14:paraId="1F593E26">
      <w:pPr>
        <w:keepNext w:val="0"/>
        <w:keepLines w:val="0"/>
        <w:pageBreakBefore w:val="0"/>
        <w:widowControl w:val="0"/>
        <w:tabs>
          <w:tab w:val="left" w:pos="5187"/>
        </w:tabs>
        <w:kinsoku/>
        <w:wordWrap/>
        <w:overflowPunct/>
        <w:topLinePunct w:val="0"/>
        <w:autoSpaceDE/>
        <w:autoSpaceDN/>
        <w:bidi w:val="0"/>
        <w:adjustRightInd/>
        <w:snapToGrid/>
        <w:spacing w:line="600" w:lineRule="atLeast"/>
        <w:ind w:left="0" w:leftChars="0" w:right="0" w:rightChars="0"/>
        <w:jc w:val="left"/>
        <w:textAlignment w:val="auto"/>
        <w:rPr>
          <w:rFonts w:hint="eastAsia" w:ascii="方正仿宋_GBK" w:hAnsi="方正仿宋_GBK" w:eastAsia="方正仿宋_GBK" w:cs="方正仿宋_GBK"/>
          <w:kern w:val="0"/>
          <w:sz w:val="32"/>
          <w:szCs w:val="32"/>
          <w:shd w:val="clear" w:color="auto" w:fill="FFFFFF"/>
          <w:lang w:val="en-US" w:eastAsia="zh-CN" w:bidi="ar-SA"/>
        </w:rPr>
        <w:sectPr>
          <w:headerReference r:id="rId6" w:type="default"/>
          <w:footerReference r:id="rId7" w:type="default"/>
          <w:pgSz w:w="16838" w:h="11906" w:orient="landscape"/>
          <w:pgMar w:top="1962" w:right="1474" w:bottom="1848" w:left="1587" w:header="851" w:footer="992" w:gutter="0"/>
          <w:pgNumType w:fmt="numberInDash"/>
          <w:cols w:space="0" w:num="1"/>
          <w:rtlGutter w:val="0"/>
          <w:docGrid w:type="lines" w:linePitch="316" w:charSpace="0"/>
        </w:sectPr>
      </w:pPr>
    </w:p>
    <w:p w14:paraId="57F0C42C">
      <w:pPr>
        <w:keepNext w:val="0"/>
        <w:keepLines w:val="0"/>
        <w:pageBreakBefore w:val="0"/>
        <w:widowControl/>
        <w:kinsoku w:val="0"/>
        <w:wordWrap/>
        <w:overflowPunct/>
        <w:topLinePunct w:val="0"/>
        <w:autoSpaceDE w:val="0"/>
        <w:autoSpaceDN w:val="0"/>
        <w:bidi w:val="0"/>
        <w:adjustRightInd w:val="0"/>
        <w:snapToGrid w:val="0"/>
        <w:spacing w:before="157" w:beforeLines="50" w:after="313" w:afterLines="100" w:line="600" w:lineRule="atLeast"/>
        <w:ind w:left="0"/>
        <w:jc w:val="left"/>
        <w:textAlignment w:val="baseline"/>
        <w:rPr>
          <w:rFonts w:hint="eastAsia" w:ascii="方正黑体_GBK" w:hAnsi="方正黑体_GBK" w:eastAsia="方正黑体_GBK" w:cs="方正黑体_GBK"/>
          <w:b w:val="0"/>
          <w:bCs w:val="0"/>
          <w:snapToGrid w:val="0"/>
          <w:color w:val="auto"/>
          <w:spacing w:val="-3"/>
          <w:kern w:val="0"/>
          <w:sz w:val="32"/>
          <w:szCs w:val="32"/>
          <w:highlight w:val="none"/>
          <w:lang w:val="en-US" w:eastAsia="en-US"/>
          <w14:ligatures w14:val="none"/>
        </w:rPr>
      </w:pPr>
      <w:r>
        <w:rPr>
          <w:rFonts w:hint="eastAsia" w:ascii="方正黑体_GBK" w:hAnsi="方正黑体_GBK" w:eastAsia="方正黑体_GBK" w:cs="方正黑体_GBK"/>
          <w:b w:val="0"/>
          <w:bCs w:val="0"/>
          <w:snapToGrid w:val="0"/>
          <w:color w:val="auto"/>
          <w:spacing w:val="-3"/>
          <w:kern w:val="0"/>
          <w:sz w:val="32"/>
          <w:szCs w:val="32"/>
          <w:highlight w:val="none"/>
          <w:lang w:val="en-US" w:eastAsia="en-US"/>
          <w14:ligatures w14:val="none"/>
        </w:rPr>
        <w:t>附件3</w:t>
      </w:r>
    </w:p>
    <w:p w14:paraId="625B42F5">
      <w:pPr>
        <w:keepNext w:val="0"/>
        <w:keepLines w:val="0"/>
        <w:pageBreakBefore w:val="0"/>
        <w:widowControl w:val="0"/>
        <w:kinsoku/>
        <w:wordWrap/>
        <w:overflowPunct/>
        <w:topLinePunct w:val="0"/>
        <w:autoSpaceDE/>
        <w:autoSpaceDN/>
        <w:bidi w:val="0"/>
        <w:adjustRightInd/>
        <w:snapToGrid w:val="0"/>
        <w:spacing w:before="313" w:beforeLines="100" w:after="313" w:afterLines="100" w:line="600" w:lineRule="atLeast"/>
        <w:jc w:val="center"/>
        <w:textAlignment w:val="auto"/>
        <w:outlineLvl w:val="0"/>
        <w:rPr>
          <w:rFonts w:hint="default" w:ascii="黑体" w:hAnsi="黑体" w:eastAsia="黑体" w:cs="黑体"/>
          <w:color w:val="auto"/>
          <w:sz w:val="32"/>
          <w:szCs w:val="32"/>
          <w:highlight w:val="none"/>
          <w:lang w:val="en-US"/>
        </w:rPr>
      </w:pPr>
      <w:r>
        <w:rPr>
          <w:rFonts w:hint="eastAsia" w:ascii="黑体" w:hAnsi="黑体" w:eastAsia="黑体" w:cs="黑体"/>
          <w:color w:val="auto"/>
          <w:sz w:val="32"/>
          <w:szCs w:val="32"/>
          <w:highlight w:val="none"/>
          <w:lang w:val="en-US" w:eastAsia="zh-CN"/>
        </w:rPr>
        <w:t>一般工业固体废物规范化环境管理评估指南</w:t>
      </w:r>
    </w:p>
    <w:p w14:paraId="4A4A85D8">
      <w:pPr>
        <w:spacing w:line="600" w:lineRule="atLeast"/>
        <w:ind w:firstLine="640" w:firstLineChars="200"/>
        <w:jc w:val="left"/>
        <w:outlineLvl w:val="9"/>
        <w:rPr>
          <w:rFonts w:hint="eastAsia" w:ascii="方正黑体_GBK" w:hAnsi="方正黑体_GBK" w:eastAsia="方正黑体_GBK" w:cs="方正黑体_GBK"/>
          <w:b w:val="0"/>
          <w:bCs w:val="0"/>
          <w:color w:val="auto"/>
          <w:kern w:val="0"/>
          <w:sz w:val="32"/>
          <w:szCs w:val="32"/>
          <w:highlight w:val="none"/>
          <w:shd w:val="clear" w:color="auto" w:fill="FFFFFF"/>
          <w:lang w:val="en-US" w:eastAsia="zh-CN"/>
        </w:rPr>
      </w:pPr>
      <w:r>
        <w:rPr>
          <w:rFonts w:hint="eastAsia" w:ascii="方正黑体_GBK" w:hAnsi="方正黑体_GBK" w:eastAsia="方正黑体_GBK" w:cs="方正黑体_GBK"/>
          <w:b w:val="0"/>
          <w:bCs w:val="0"/>
          <w:color w:val="auto"/>
          <w:kern w:val="0"/>
          <w:sz w:val="32"/>
          <w:szCs w:val="32"/>
          <w:highlight w:val="none"/>
          <w:shd w:val="clear" w:color="auto" w:fill="FFFFFF"/>
          <w:lang w:val="en-US" w:eastAsia="zh-CN"/>
        </w:rPr>
        <w:t>一、环境影响评价制度</w:t>
      </w:r>
    </w:p>
    <w:p w14:paraId="47619A8C">
      <w:pPr>
        <w:spacing w:line="600" w:lineRule="atLeas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（一）评估要点</w:t>
      </w:r>
    </w:p>
    <w:p w14:paraId="6239FDF6">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（1）</w:t>
      </w:r>
      <w:r>
        <w:rPr>
          <w:rFonts w:hint="eastAsia" w:ascii="方正仿宋_GBK" w:hAnsi="方正仿宋_GBK" w:eastAsia="方正仿宋_GBK" w:cs="方正仿宋_GBK"/>
          <w:b w:val="0"/>
          <w:bCs w:val="0"/>
          <w:color w:val="auto"/>
          <w:sz w:val="32"/>
          <w:szCs w:val="32"/>
          <w:highlight w:val="none"/>
          <w:lang w:eastAsia="en-US"/>
        </w:rPr>
        <w:t>编制环境影响报告书、环境影响报告表的建设项目，应当在环境影响评价文件明确一般工业固体废物的种类、</w:t>
      </w:r>
      <w:r>
        <w:rPr>
          <w:rFonts w:hint="eastAsia" w:ascii="方正仿宋_GBK" w:hAnsi="方正仿宋_GBK" w:eastAsia="方正仿宋_GBK" w:cs="方正仿宋_GBK"/>
          <w:b w:val="0"/>
          <w:bCs w:val="0"/>
          <w:color w:val="auto"/>
          <w:sz w:val="32"/>
          <w:szCs w:val="32"/>
          <w:highlight w:val="none"/>
          <w:lang w:val="en-US" w:eastAsia="zh-CN"/>
        </w:rPr>
        <w:t>代码、</w:t>
      </w:r>
      <w:r>
        <w:rPr>
          <w:rFonts w:hint="eastAsia" w:ascii="方正仿宋_GBK" w:hAnsi="方正仿宋_GBK" w:eastAsia="方正仿宋_GBK" w:cs="方正仿宋_GBK"/>
          <w:b w:val="0"/>
          <w:bCs w:val="0"/>
          <w:color w:val="auto"/>
          <w:sz w:val="32"/>
          <w:szCs w:val="32"/>
          <w:highlight w:val="none"/>
          <w:lang w:eastAsia="en-US"/>
        </w:rPr>
        <w:t>名称、</w:t>
      </w:r>
      <w:r>
        <w:rPr>
          <w:rFonts w:hint="eastAsia" w:ascii="方正仿宋_GBK" w:hAnsi="方正仿宋_GBK" w:eastAsia="方正仿宋_GBK" w:cs="方正仿宋_GBK"/>
          <w:b w:val="0"/>
          <w:bCs w:val="0"/>
          <w:color w:val="auto"/>
          <w:spacing w:val="0"/>
          <w:sz w:val="32"/>
          <w:szCs w:val="32"/>
          <w:highlight w:val="none"/>
          <w:lang w:eastAsia="en-US"/>
        </w:rPr>
        <w:t>年度产生量、利用</w:t>
      </w:r>
      <w:r>
        <w:rPr>
          <w:rFonts w:hint="eastAsia" w:ascii="方正仿宋_GBK" w:hAnsi="方正仿宋_GBK" w:eastAsia="方正仿宋_GBK" w:cs="方正仿宋_GBK"/>
          <w:b w:val="0"/>
          <w:bCs w:val="0"/>
          <w:color w:val="auto"/>
          <w:spacing w:val="0"/>
          <w:sz w:val="32"/>
          <w:szCs w:val="32"/>
          <w:highlight w:val="none"/>
          <w:lang w:val="en-US" w:eastAsia="zh-CN"/>
        </w:rPr>
        <w:t>/处置</w:t>
      </w:r>
      <w:r>
        <w:rPr>
          <w:rFonts w:hint="eastAsia" w:ascii="方正仿宋_GBK" w:hAnsi="方正仿宋_GBK" w:eastAsia="方正仿宋_GBK" w:cs="方正仿宋_GBK"/>
          <w:b w:val="0"/>
          <w:bCs w:val="0"/>
          <w:color w:val="auto"/>
          <w:spacing w:val="0"/>
          <w:sz w:val="32"/>
          <w:szCs w:val="32"/>
          <w:highlight w:val="none"/>
          <w:lang w:eastAsia="en-US"/>
        </w:rPr>
        <w:t>方式和去向、环境管理要求</w:t>
      </w:r>
      <w:r>
        <w:rPr>
          <w:rFonts w:hint="eastAsia" w:ascii="方正仿宋_GBK" w:hAnsi="方正仿宋_GBK" w:eastAsia="方正仿宋_GBK" w:cs="方正仿宋_GBK"/>
          <w:b w:val="0"/>
          <w:bCs w:val="0"/>
          <w:color w:val="auto"/>
          <w:spacing w:val="0"/>
          <w:sz w:val="32"/>
          <w:szCs w:val="32"/>
          <w:highlight w:val="none"/>
          <w:lang w:val="en-US" w:eastAsia="zh-CN"/>
        </w:rPr>
        <w:t>等必要信息</w:t>
      </w:r>
      <w:r>
        <w:rPr>
          <w:rFonts w:hint="eastAsia" w:ascii="方正仿宋_GBK" w:hAnsi="方正仿宋_GBK" w:eastAsia="方正仿宋_GBK" w:cs="方正仿宋_GBK"/>
          <w:b w:val="0"/>
          <w:bCs w:val="0"/>
          <w:color w:val="auto"/>
          <w:spacing w:val="0"/>
          <w:sz w:val="32"/>
          <w:szCs w:val="32"/>
          <w:highlight w:val="none"/>
          <w:lang w:eastAsia="en-US"/>
        </w:rPr>
        <w:t>。</w:t>
      </w:r>
    </w:p>
    <w:p w14:paraId="4BEE3B5B">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pacing w:val="0"/>
          <w:sz w:val="32"/>
          <w:szCs w:val="32"/>
          <w:highlight w:val="none"/>
          <w:lang w:eastAsia="en-US"/>
        </w:rPr>
        <w:t>填报环境影响登记表的建设项目，应当在</w:t>
      </w:r>
      <w:r>
        <w:rPr>
          <w:rFonts w:hint="eastAsia" w:ascii="方正仿宋_GBK" w:hAnsi="方正仿宋_GBK" w:eastAsia="方正仿宋_GBK" w:cs="方正仿宋_GBK"/>
          <w:b w:val="0"/>
          <w:bCs w:val="0"/>
          <w:color w:val="auto"/>
          <w:spacing w:val="0"/>
          <w:sz w:val="32"/>
          <w:szCs w:val="32"/>
          <w:highlight w:val="none"/>
          <w:lang w:eastAsia="zh-CN"/>
        </w:rPr>
        <w:t>“</w:t>
      </w:r>
      <w:r>
        <w:rPr>
          <w:rFonts w:hint="eastAsia" w:ascii="方正仿宋_GBK" w:hAnsi="方正仿宋_GBK" w:eastAsia="方正仿宋_GBK" w:cs="方正仿宋_GBK"/>
          <w:b w:val="0"/>
          <w:bCs w:val="0"/>
          <w:color w:val="auto"/>
          <w:spacing w:val="0"/>
          <w:sz w:val="32"/>
          <w:szCs w:val="32"/>
          <w:highlight w:val="none"/>
          <w:lang w:eastAsia="en-US"/>
        </w:rPr>
        <w:t>采</w:t>
      </w:r>
      <w:r>
        <w:rPr>
          <w:rFonts w:hint="eastAsia" w:ascii="方正仿宋_GBK" w:hAnsi="方正仿宋_GBK" w:eastAsia="方正仿宋_GBK" w:cs="方正仿宋_GBK"/>
          <w:b w:val="0"/>
          <w:bCs w:val="0"/>
          <w:color w:val="auto"/>
          <w:sz w:val="32"/>
          <w:szCs w:val="32"/>
          <w:highlight w:val="none"/>
          <w:lang w:eastAsia="en-US"/>
        </w:rPr>
        <w:t>取的环保措施及排放去向</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lang w:eastAsia="en-US"/>
        </w:rPr>
        <w:t>部</w:t>
      </w:r>
      <w:r>
        <w:rPr>
          <w:rFonts w:hint="eastAsia" w:ascii="方正仿宋_GBK" w:hAnsi="方正仿宋_GBK" w:eastAsia="方正仿宋_GBK" w:cs="方正仿宋_GBK"/>
          <w:b w:val="0"/>
          <w:bCs w:val="0"/>
          <w:color w:val="auto"/>
          <w:spacing w:val="0"/>
          <w:sz w:val="32"/>
          <w:szCs w:val="32"/>
          <w:highlight w:val="none"/>
          <w:lang w:eastAsia="en-US"/>
        </w:rPr>
        <w:t>分，载明一般工业固体废物的种类及最终流向。</w:t>
      </w:r>
    </w:p>
    <w:p w14:paraId="025B86F2">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（3）</w:t>
      </w:r>
      <w:r>
        <w:rPr>
          <w:rFonts w:hint="eastAsia" w:ascii="方正仿宋_GBK" w:hAnsi="方正仿宋_GBK" w:eastAsia="方正仿宋_GBK" w:cs="方正仿宋_GBK"/>
          <w:b w:val="0"/>
          <w:bCs w:val="0"/>
          <w:color w:val="auto"/>
          <w:sz w:val="32"/>
          <w:szCs w:val="32"/>
          <w:highlight w:val="none"/>
          <w:lang w:val="en-US" w:eastAsia="en-US"/>
        </w:rPr>
        <w:t>环境影响评价文件</w:t>
      </w:r>
      <w:r>
        <w:rPr>
          <w:rFonts w:hint="eastAsia" w:ascii="方正仿宋_GBK" w:hAnsi="方正仿宋_GBK" w:eastAsia="方正仿宋_GBK" w:cs="方正仿宋_GBK"/>
          <w:b w:val="0"/>
          <w:bCs w:val="0"/>
          <w:color w:val="auto"/>
          <w:sz w:val="32"/>
          <w:szCs w:val="32"/>
          <w:highlight w:val="none"/>
          <w:lang w:val="en-US" w:eastAsia="zh-CN"/>
        </w:rPr>
        <w:t>应</w:t>
      </w:r>
      <w:r>
        <w:rPr>
          <w:rFonts w:hint="eastAsia" w:ascii="方正仿宋_GBK" w:hAnsi="方正仿宋_GBK" w:eastAsia="方正仿宋_GBK" w:cs="方正仿宋_GBK"/>
          <w:b w:val="0"/>
          <w:bCs w:val="0"/>
          <w:color w:val="auto"/>
          <w:sz w:val="32"/>
          <w:szCs w:val="32"/>
          <w:highlight w:val="none"/>
          <w:lang w:val="en-US" w:eastAsia="en-US"/>
        </w:rPr>
        <w:t>科学预测分析一般工业固体废物的产生情况，预估产生量、属性</w:t>
      </w:r>
      <w:r>
        <w:rPr>
          <w:rFonts w:hint="eastAsia" w:ascii="方正仿宋_GBK" w:hAnsi="方正仿宋_GBK" w:eastAsia="方正仿宋_GBK" w:cs="方正仿宋_GBK"/>
          <w:b w:val="0"/>
          <w:bCs w:val="0"/>
          <w:color w:val="auto"/>
          <w:sz w:val="32"/>
          <w:szCs w:val="32"/>
          <w:highlight w:val="none"/>
          <w:lang w:val="en-US" w:eastAsia="zh-CN"/>
        </w:rPr>
        <w:t>和</w:t>
      </w:r>
      <w:r>
        <w:rPr>
          <w:rFonts w:hint="eastAsia" w:ascii="方正仿宋_GBK" w:hAnsi="方正仿宋_GBK" w:eastAsia="方正仿宋_GBK" w:cs="方正仿宋_GBK"/>
          <w:b w:val="0"/>
          <w:bCs w:val="0"/>
          <w:color w:val="auto"/>
          <w:sz w:val="32"/>
          <w:szCs w:val="32"/>
          <w:highlight w:val="none"/>
          <w:lang w:val="en-US" w:eastAsia="en-US"/>
        </w:rPr>
        <w:t>类别</w:t>
      </w:r>
      <w:r>
        <w:rPr>
          <w:rFonts w:hint="eastAsia" w:ascii="方正仿宋_GBK" w:hAnsi="方正仿宋_GBK" w:eastAsia="方正仿宋_GBK" w:cs="方正仿宋_GBK"/>
          <w:b w:val="0"/>
          <w:bCs w:val="0"/>
          <w:color w:val="auto"/>
          <w:sz w:val="32"/>
          <w:szCs w:val="32"/>
          <w:highlight w:val="none"/>
          <w:lang w:val="en-US" w:eastAsia="zh-CN"/>
        </w:rPr>
        <w:t>。</w:t>
      </w:r>
    </w:p>
    <w:p w14:paraId="6F16FF99">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（4）</w:t>
      </w:r>
      <w:r>
        <w:rPr>
          <w:rFonts w:hint="eastAsia" w:ascii="方正仿宋_GBK" w:hAnsi="方正仿宋_GBK" w:eastAsia="方正仿宋_GBK" w:cs="方正仿宋_GBK"/>
          <w:b w:val="0"/>
          <w:bCs w:val="0"/>
          <w:color w:val="auto"/>
          <w:sz w:val="32"/>
          <w:szCs w:val="32"/>
          <w:highlight w:val="none"/>
          <w:lang w:val="en-US" w:eastAsia="en-US"/>
        </w:rPr>
        <w:t>在环境影响评价文件</w:t>
      </w:r>
      <w:r>
        <w:rPr>
          <w:rFonts w:hint="eastAsia" w:ascii="方正仿宋_GBK" w:hAnsi="方正仿宋_GBK" w:eastAsia="方正仿宋_GBK" w:cs="方正仿宋_GBK"/>
          <w:b w:val="0"/>
          <w:bCs w:val="0"/>
          <w:color w:val="auto"/>
          <w:sz w:val="32"/>
          <w:szCs w:val="32"/>
          <w:highlight w:val="none"/>
          <w:lang w:val="en-US" w:eastAsia="zh-CN"/>
        </w:rPr>
        <w:t>中</w:t>
      </w:r>
      <w:r>
        <w:rPr>
          <w:rFonts w:hint="eastAsia" w:ascii="方正仿宋_GBK" w:hAnsi="方正仿宋_GBK" w:eastAsia="方正仿宋_GBK" w:cs="方正仿宋_GBK"/>
          <w:b w:val="0"/>
          <w:bCs w:val="0"/>
          <w:color w:val="auto"/>
          <w:sz w:val="32"/>
          <w:szCs w:val="32"/>
          <w:highlight w:val="none"/>
          <w:lang w:val="en-US" w:eastAsia="en-US"/>
        </w:rPr>
        <w:t>明确配套建设</w:t>
      </w:r>
      <w:r>
        <w:rPr>
          <w:rFonts w:hint="eastAsia" w:ascii="方正仿宋_GBK" w:hAnsi="方正仿宋_GBK" w:eastAsia="方正仿宋_GBK" w:cs="方正仿宋_GBK"/>
          <w:b w:val="0"/>
          <w:bCs w:val="0"/>
          <w:color w:val="auto"/>
          <w:sz w:val="32"/>
          <w:szCs w:val="32"/>
          <w:highlight w:val="none"/>
          <w:lang w:val="en-US" w:eastAsia="zh-CN"/>
        </w:rPr>
        <w:t>的</w:t>
      </w:r>
      <w:r>
        <w:rPr>
          <w:rFonts w:hint="eastAsia" w:ascii="方正仿宋_GBK" w:hAnsi="方正仿宋_GBK" w:eastAsia="方正仿宋_GBK" w:cs="方正仿宋_GBK"/>
          <w:b w:val="0"/>
          <w:bCs w:val="0"/>
          <w:color w:val="auto"/>
          <w:sz w:val="32"/>
          <w:szCs w:val="32"/>
          <w:highlight w:val="none"/>
          <w:lang w:val="en-US" w:eastAsia="en-US"/>
        </w:rPr>
        <w:t>一般固体废物贮存、利用、处置设施的环境保护标准</w:t>
      </w:r>
      <w:r>
        <w:rPr>
          <w:rFonts w:hint="eastAsia" w:ascii="方正仿宋_GBK" w:hAnsi="方正仿宋_GBK" w:eastAsia="方正仿宋_GBK" w:cs="方正仿宋_GBK"/>
          <w:b w:val="0"/>
          <w:bCs w:val="0"/>
          <w:color w:val="auto"/>
          <w:sz w:val="32"/>
          <w:szCs w:val="32"/>
          <w:highlight w:val="none"/>
          <w:lang w:val="en-US" w:eastAsia="zh-CN"/>
        </w:rPr>
        <w:t>，且应依据相关标准</w:t>
      </w:r>
      <w:r>
        <w:rPr>
          <w:rFonts w:hint="eastAsia" w:ascii="方正仿宋_GBK" w:hAnsi="方正仿宋_GBK" w:eastAsia="方正仿宋_GBK" w:cs="方正仿宋_GBK"/>
          <w:b w:val="0"/>
          <w:bCs w:val="0"/>
          <w:color w:val="auto"/>
          <w:sz w:val="32"/>
          <w:szCs w:val="32"/>
          <w:highlight w:val="none"/>
          <w:lang w:val="en-US" w:eastAsia="en-US"/>
        </w:rPr>
        <w:t>分析</w:t>
      </w:r>
      <w:r>
        <w:rPr>
          <w:rFonts w:hint="eastAsia" w:ascii="方正仿宋_GBK" w:hAnsi="方正仿宋_GBK" w:eastAsia="方正仿宋_GBK" w:cs="方正仿宋_GBK"/>
          <w:b w:val="0"/>
          <w:bCs w:val="0"/>
          <w:color w:val="auto"/>
          <w:sz w:val="32"/>
          <w:szCs w:val="32"/>
          <w:highlight w:val="none"/>
          <w:lang w:val="en-US" w:eastAsia="zh-CN"/>
        </w:rPr>
        <w:t>相关</w:t>
      </w:r>
      <w:r>
        <w:rPr>
          <w:rFonts w:hint="eastAsia" w:ascii="方正仿宋_GBK" w:hAnsi="方正仿宋_GBK" w:eastAsia="方正仿宋_GBK" w:cs="方正仿宋_GBK"/>
          <w:b w:val="0"/>
          <w:bCs w:val="0"/>
          <w:color w:val="auto"/>
          <w:sz w:val="32"/>
          <w:szCs w:val="32"/>
          <w:highlight w:val="none"/>
          <w:lang w:val="en-US" w:eastAsia="en-US"/>
        </w:rPr>
        <w:t>设施</w:t>
      </w:r>
      <w:r>
        <w:rPr>
          <w:rFonts w:hint="eastAsia" w:ascii="方正仿宋_GBK" w:hAnsi="方正仿宋_GBK" w:eastAsia="方正仿宋_GBK" w:cs="方正仿宋_GBK"/>
          <w:b w:val="0"/>
          <w:bCs w:val="0"/>
          <w:color w:val="auto"/>
          <w:sz w:val="32"/>
          <w:szCs w:val="32"/>
          <w:highlight w:val="none"/>
          <w:lang w:val="en-US" w:eastAsia="zh-CN"/>
        </w:rPr>
        <w:t>建设</w:t>
      </w:r>
      <w:r>
        <w:rPr>
          <w:rFonts w:hint="eastAsia" w:ascii="方正仿宋_GBK" w:hAnsi="方正仿宋_GBK" w:eastAsia="方正仿宋_GBK" w:cs="方正仿宋_GBK"/>
          <w:b w:val="0"/>
          <w:bCs w:val="0"/>
          <w:color w:val="auto"/>
          <w:sz w:val="32"/>
          <w:szCs w:val="32"/>
          <w:highlight w:val="none"/>
          <w:lang w:val="en-US" w:eastAsia="en-US"/>
        </w:rPr>
        <w:t>的可行性</w:t>
      </w:r>
      <w:r>
        <w:rPr>
          <w:rFonts w:hint="eastAsia" w:ascii="方正仿宋_GBK" w:hAnsi="方正仿宋_GBK" w:eastAsia="方正仿宋_GBK" w:cs="方正仿宋_GBK"/>
          <w:b w:val="0"/>
          <w:bCs w:val="0"/>
          <w:color w:val="auto"/>
          <w:sz w:val="32"/>
          <w:szCs w:val="32"/>
          <w:highlight w:val="none"/>
          <w:lang w:val="en-US" w:eastAsia="zh-CN"/>
        </w:rPr>
        <w:t>。</w:t>
      </w:r>
    </w:p>
    <w:p w14:paraId="2A89E6C2">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（5）</w:t>
      </w:r>
      <w:r>
        <w:rPr>
          <w:rFonts w:hint="eastAsia" w:ascii="方正仿宋_GBK" w:hAnsi="方正仿宋_GBK" w:eastAsia="方正仿宋_GBK" w:cs="方正仿宋_GBK"/>
          <w:b w:val="0"/>
          <w:bCs w:val="0"/>
          <w:color w:val="auto"/>
          <w:sz w:val="32"/>
          <w:szCs w:val="32"/>
          <w:highlight w:val="none"/>
          <w:lang w:eastAsia="zh-CN"/>
        </w:rPr>
        <w:t>建设项目中防治污染的设施，应当与主体工程同时设计、同时施工、同时投产使用。防治污染的设施应当符合经批准的环境影响评价文件的要求，不得擅自拆除或者闲置。</w:t>
      </w:r>
    </w:p>
    <w:p w14:paraId="142C953A">
      <w:pPr>
        <w:spacing w:line="600" w:lineRule="atLeas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（二）达标标准</w:t>
      </w:r>
    </w:p>
    <w:p w14:paraId="3582CC14">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企业具有环评材料，且材料中对一般工业固废的信息描述完整。同时，完成“三同时”验收或在验收期限内。</w:t>
      </w:r>
    </w:p>
    <w:p w14:paraId="55EBEF6A">
      <w:pPr>
        <w:spacing w:line="600" w:lineRule="atLeas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（三）注意事项</w:t>
      </w:r>
    </w:p>
    <w:p w14:paraId="48762CEE">
      <w:pPr>
        <w:spacing w:line="600" w:lineRule="atLeast"/>
        <w:ind w:firstLine="640" w:firstLineChars="200"/>
        <w:jc w:val="both"/>
        <w:rPr>
          <w:rFonts w:hint="eastAsia" w:ascii="方正仿宋_GBK" w:hAnsi="方正仿宋_GBK" w:eastAsia="方正仿宋_GBK" w:cs="方正仿宋_GBK"/>
          <w:b w:val="0"/>
          <w:bCs w:val="0"/>
          <w:snapToGrid/>
          <w:color w:val="auto"/>
          <w:spacing w:val="0"/>
          <w:kern w:val="0"/>
          <w:sz w:val="32"/>
          <w:szCs w:val="32"/>
          <w:highlight w:val="none"/>
          <w:lang w:val="en-US" w:eastAsia="zh-CN" w:bidi="ar-SA"/>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rPr>
        <w:t>（1）2024年1月22日以后编制的环境影响评价文件应依据《固体废物分类与代码目录》（生态环境部公告2024年第4号）增加一般工业固体废物的废物代码。</w:t>
      </w:r>
    </w:p>
    <w:p w14:paraId="53C859D9">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rPr>
        <w:t>（2）在《中华人民共和国环境影响评价法》实施（2003年9月1日）前已建成，又未发生改建、扩建的项目，若可提供开展“四清四治”专项行动的证明材料，本项制度记满分。</w:t>
      </w:r>
    </w:p>
    <w:p w14:paraId="62568A59">
      <w:pPr>
        <w:spacing w:line="600" w:lineRule="atLeas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（四）法律依据</w:t>
      </w:r>
    </w:p>
    <w:p w14:paraId="18B63693">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（1）《中华人民共和国固体废物污染环境防治法》（以下简称《固废法》）</w:t>
      </w:r>
      <w:r>
        <w:rPr>
          <w:rFonts w:hint="eastAsia" w:ascii="方正仿宋_GBK" w:hAnsi="方正仿宋_GBK" w:eastAsia="方正仿宋_GBK" w:cs="方正仿宋_GBK"/>
          <w:b w:val="0"/>
          <w:bCs w:val="0"/>
          <w:color w:val="auto"/>
          <w:sz w:val="32"/>
          <w:szCs w:val="32"/>
          <w:highlight w:val="none"/>
          <w:lang w:val="en-US" w:eastAsia="en-US"/>
        </w:rPr>
        <w:t>第十七条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建设产生、贮存、利用、处置固体废物的项目，应当依法进行环境影响评价，并遵守国家有关建设项目环境保护管理的规定</w:t>
      </w:r>
      <w:r>
        <w:rPr>
          <w:rFonts w:hint="eastAsia" w:ascii="方正仿宋_GBK" w:hAnsi="方正仿宋_GBK" w:eastAsia="方正仿宋_GBK" w:cs="方正仿宋_GBK"/>
          <w:b w:val="0"/>
          <w:bCs w:val="0"/>
          <w:color w:val="auto"/>
          <w:sz w:val="32"/>
          <w:szCs w:val="32"/>
          <w:highlight w:val="none"/>
          <w:lang w:val="en-US" w:eastAsia="zh-CN"/>
        </w:rPr>
        <w:t>；</w:t>
      </w:r>
    </w:p>
    <w:p w14:paraId="16A5AEAB">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z w:val="32"/>
          <w:szCs w:val="32"/>
          <w:highlight w:val="none"/>
          <w:lang w:val="en-US" w:eastAsia="en-US"/>
        </w:rPr>
        <w:t>《固废法》第十八条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建设项目的环境影响评价文件确定需要配套建设的固体废物污染环境防治设施，应当与主体工程同时设计、同时施工、同时投入使用。建设项目的初步设计，应当按照环境保护设计规范的要求，将固体废物污染环境防治内容纳入环境影响评价文件，落实防治固体废物污染环境和破坏生态的措施以及固体废物污染环境防治设施投资概算</w:t>
      </w:r>
      <w:r>
        <w:rPr>
          <w:rFonts w:hint="eastAsia" w:ascii="方正仿宋_GBK" w:hAnsi="方正仿宋_GBK" w:eastAsia="方正仿宋_GBK" w:cs="方正仿宋_GBK"/>
          <w:b w:val="0"/>
          <w:bCs w:val="0"/>
          <w:color w:val="auto"/>
          <w:sz w:val="32"/>
          <w:szCs w:val="32"/>
          <w:highlight w:val="none"/>
          <w:lang w:val="en-US" w:eastAsia="zh-CN"/>
        </w:rPr>
        <w:t>。</w:t>
      </w:r>
    </w:p>
    <w:p w14:paraId="33141AF8">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建设单位应当依照有关法律法规的规定，对配套建设的固体废物污染环境防治设施进行验收，编制验收报告，并向社会公开。</w:t>
      </w:r>
    </w:p>
    <w:p w14:paraId="5FC6504C">
      <w:pPr>
        <w:spacing w:line="600" w:lineRule="atLeast"/>
        <w:ind w:firstLine="640" w:firstLineChars="200"/>
        <w:jc w:val="left"/>
        <w:outlineLvl w:val="9"/>
        <w:rPr>
          <w:rFonts w:hint="eastAsia" w:ascii="方正黑体_GBK" w:hAnsi="方正黑体_GBK" w:eastAsia="方正黑体_GBK" w:cs="方正黑体_GBK"/>
          <w:b w:val="0"/>
          <w:bCs w:val="0"/>
          <w:color w:val="auto"/>
          <w:kern w:val="0"/>
          <w:sz w:val="32"/>
          <w:szCs w:val="32"/>
          <w:highlight w:val="none"/>
          <w:shd w:val="clear" w:color="auto" w:fill="FFFFFF"/>
          <w:lang w:val="en-US" w:eastAsia="zh-CN"/>
        </w:rPr>
      </w:pPr>
      <w:r>
        <w:rPr>
          <w:rFonts w:hint="eastAsia" w:ascii="方正黑体_GBK" w:hAnsi="方正黑体_GBK" w:eastAsia="方正黑体_GBK" w:cs="方正黑体_GBK"/>
          <w:b w:val="0"/>
          <w:bCs w:val="0"/>
          <w:color w:val="auto"/>
          <w:kern w:val="0"/>
          <w:sz w:val="32"/>
          <w:szCs w:val="32"/>
          <w:highlight w:val="none"/>
          <w:shd w:val="clear" w:color="auto" w:fill="FFFFFF"/>
          <w:lang w:val="en-US" w:eastAsia="zh-CN"/>
        </w:rPr>
        <w:t>二、排污许可制度</w:t>
      </w:r>
    </w:p>
    <w:p w14:paraId="3A220F2D">
      <w:pPr>
        <w:spacing w:line="600" w:lineRule="atLeas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（一）评估要点</w:t>
      </w:r>
    </w:p>
    <w:p w14:paraId="4E91A5DB">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（1）在排污许可证“固体废物排放信息”部分，应载明一般工业固体废物的排放信息。</w:t>
      </w:r>
    </w:p>
    <w:p w14:paraId="64905FAE">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z w:val="32"/>
          <w:szCs w:val="32"/>
          <w:highlight w:val="none"/>
          <w:lang w:val="en-US" w:eastAsia="en-US"/>
        </w:rPr>
        <w:t>2022年1月1日后首次申请</w:t>
      </w:r>
      <w:r>
        <w:rPr>
          <w:rFonts w:hint="eastAsia" w:ascii="方正仿宋_GBK" w:hAnsi="方正仿宋_GBK" w:eastAsia="方正仿宋_GBK" w:cs="方正仿宋_GBK"/>
          <w:b w:val="0"/>
          <w:bCs w:val="0"/>
          <w:color w:val="auto"/>
          <w:sz w:val="32"/>
          <w:szCs w:val="32"/>
          <w:highlight w:val="none"/>
          <w:lang w:val="en-US" w:eastAsia="zh-CN"/>
        </w:rPr>
        <w:t>或由于</w:t>
      </w:r>
      <w:r>
        <w:rPr>
          <w:rFonts w:hint="eastAsia" w:ascii="方正仿宋_GBK" w:hAnsi="方正仿宋_GBK" w:eastAsia="方正仿宋_GBK" w:cs="方正仿宋_GBK"/>
          <w:b w:val="0"/>
          <w:bCs w:val="0"/>
          <w:color w:val="auto"/>
          <w:sz w:val="32"/>
          <w:szCs w:val="32"/>
          <w:highlight w:val="none"/>
          <w:lang w:val="en-US" w:eastAsia="en-US"/>
        </w:rPr>
        <w:t>有效期届满</w:t>
      </w:r>
      <w:r>
        <w:rPr>
          <w:rFonts w:hint="eastAsia" w:ascii="方正仿宋_GBK" w:hAnsi="方正仿宋_GBK" w:eastAsia="方正仿宋_GBK" w:cs="方正仿宋_GBK"/>
          <w:b w:val="0"/>
          <w:bCs w:val="0"/>
          <w:color w:val="auto"/>
          <w:sz w:val="32"/>
          <w:szCs w:val="32"/>
          <w:highlight w:val="none"/>
          <w:lang w:val="en-US" w:eastAsia="zh-CN"/>
        </w:rPr>
        <w:t>及</w:t>
      </w:r>
      <w:r>
        <w:rPr>
          <w:rFonts w:hint="eastAsia" w:ascii="方正仿宋_GBK" w:hAnsi="方正仿宋_GBK" w:eastAsia="方正仿宋_GBK" w:cs="方正仿宋_GBK"/>
          <w:b w:val="0"/>
          <w:bCs w:val="0"/>
          <w:color w:val="auto"/>
          <w:sz w:val="32"/>
          <w:szCs w:val="32"/>
          <w:highlight w:val="none"/>
          <w:lang w:val="en-US" w:eastAsia="en-US"/>
        </w:rPr>
        <w:t>其他原因重新申请、变更的排污许可证，</w:t>
      </w:r>
      <w:r>
        <w:rPr>
          <w:rFonts w:hint="eastAsia" w:ascii="方正仿宋_GBK" w:hAnsi="方正仿宋_GBK" w:eastAsia="方正仿宋_GBK" w:cs="方正仿宋_GBK"/>
          <w:b w:val="0"/>
          <w:bCs w:val="0"/>
          <w:color w:val="auto"/>
          <w:sz w:val="32"/>
          <w:szCs w:val="32"/>
          <w:highlight w:val="none"/>
          <w:lang w:val="en-US" w:eastAsia="zh-CN"/>
        </w:rPr>
        <w:t>应</w:t>
      </w:r>
      <w:r>
        <w:rPr>
          <w:rFonts w:hint="eastAsia" w:ascii="方正仿宋_GBK" w:hAnsi="方正仿宋_GBK" w:eastAsia="方正仿宋_GBK" w:cs="方正仿宋_GBK"/>
          <w:b w:val="0"/>
          <w:bCs w:val="0"/>
          <w:color w:val="auto"/>
          <w:sz w:val="32"/>
          <w:szCs w:val="32"/>
          <w:highlight w:val="none"/>
          <w:lang w:val="en-US" w:eastAsia="en-US"/>
        </w:rPr>
        <w:t>载明一般工业固体废物环境管理要求。</w:t>
      </w:r>
    </w:p>
    <w:p w14:paraId="0434B48D">
      <w:pPr>
        <w:spacing w:line="600" w:lineRule="atLeast"/>
        <w:ind w:firstLine="640" w:firstLineChars="200"/>
        <w:jc w:val="both"/>
        <w:rPr>
          <w:rFonts w:hint="eastAsia" w:ascii="方正仿宋_GBK" w:hAnsi="方正仿宋_GBK" w:eastAsia="方正仿宋_GBK" w:cs="方正仿宋_GBK"/>
          <w:b w:val="0"/>
          <w:bCs w:val="0"/>
          <w:snapToGrid/>
          <w:color w:val="auto"/>
          <w:spacing w:val="0"/>
          <w:kern w:val="0"/>
          <w:sz w:val="32"/>
          <w:szCs w:val="32"/>
          <w:highlight w:val="none"/>
          <w:lang w:val="en-US" w:eastAsia="en-US" w:bidi="ar-SA"/>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rPr>
        <w:t>（3）应</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rPr>
        <w:t>在</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rPr>
        <w:t>“</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rPr>
        <w:t>全国排污许可证管理信息平台</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rPr>
        <w:t>”</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rPr>
        <w:t>中如实填报上一年度</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rPr>
        <w:t>“</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rPr>
        <w:t>一般工业固废</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rPr>
        <w:t>电子台账”</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rPr>
        <w:t>。</w:t>
      </w:r>
    </w:p>
    <w:p w14:paraId="1A3CC681">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填报网址：</w:t>
      </w:r>
    </w:p>
    <w:p w14:paraId="351C4815">
      <w:pPr>
        <w:spacing w:line="600" w:lineRule="atLeast"/>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fldChar w:fldCharType="begin"/>
      </w:r>
      <w:r>
        <w:rPr>
          <w:rFonts w:hint="eastAsia" w:ascii="方正仿宋_GBK" w:hAnsi="方正仿宋_GBK" w:eastAsia="方正仿宋_GBK" w:cs="方正仿宋_GBK"/>
          <w:b w:val="0"/>
          <w:bCs w:val="0"/>
          <w:color w:val="auto"/>
          <w:sz w:val="32"/>
          <w:szCs w:val="32"/>
          <w:highlight w:val="none"/>
          <w:lang w:val="en-US" w:eastAsia="zh-CN"/>
        </w:rPr>
        <w:instrText xml:space="preserve"> HYPERLINK "https://permit.mee.gov.cn/perxxgkinfo/syssb/xxgk/xxgk!sqqlist.action" </w:instrText>
      </w:r>
      <w:r>
        <w:rPr>
          <w:rFonts w:hint="eastAsia" w:ascii="方正仿宋_GBK" w:hAnsi="方正仿宋_GBK" w:eastAsia="方正仿宋_GBK" w:cs="方正仿宋_GBK"/>
          <w:b w:val="0"/>
          <w:bCs w:val="0"/>
          <w:color w:val="auto"/>
          <w:sz w:val="32"/>
          <w:szCs w:val="32"/>
          <w:highlight w:val="none"/>
          <w:lang w:val="en-US" w:eastAsia="zh-CN"/>
        </w:rPr>
        <w:fldChar w:fldCharType="separate"/>
      </w:r>
      <w:r>
        <w:rPr>
          <w:rStyle w:val="12"/>
          <w:rFonts w:hint="eastAsia" w:ascii="方正仿宋_GBK" w:hAnsi="方正仿宋_GBK" w:eastAsia="方正仿宋_GBK" w:cs="方正仿宋_GBK"/>
          <w:b w:val="0"/>
          <w:bCs w:val="0"/>
          <w:color w:val="auto"/>
          <w:kern w:val="2"/>
          <w:sz w:val="32"/>
          <w:szCs w:val="32"/>
          <w:highlight w:val="none"/>
          <w:lang w:val="en-US" w:eastAsia="zh-CN" w:bidi="ar-SA"/>
        </w:rPr>
        <w:t>https://permit.mee.gov.cn/perxxgkinfo/syssb/xxgk/xxgk!sqqlist.action</w:t>
      </w:r>
      <w:r>
        <w:rPr>
          <w:rFonts w:hint="eastAsia" w:ascii="方正仿宋_GBK" w:hAnsi="方正仿宋_GBK" w:eastAsia="方正仿宋_GBK" w:cs="方正仿宋_GBK"/>
          <w:b w:val="0"/>
          <w:bCs w:val="0"/>
          <w:color w:val="auto"/>
          <w:sz w:val="32"/>
          <w:szCs w:val="32"/>
          <w:highlight w:val="none"/>
          <w:lang w:val="en-US" w:eastAsia="zh-CN"/>
        </w:rPr>
        <w:fldChar w:fldCharType="end"/>
      </w:r>
    </w:p>
    <w:p w14:paraId="05512E6F">
      <w:pPr>
        <w:spacing w:line="600" w:lineRule="atLeast"/>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drawing>
          <wp:inline distT="0" distB="0" distL="114300" distR="114300">
            <wp:extent cx="5400040" cy="1692275"/>
            <wp:effectExtent l="12700" t="12700" r="16510" b="28575"/>
            <wp:docPr id="9" name="图片 9" descr="a2e252a4a98cd30e6c4bb2a238f0c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2e252a4a98cd30e6c4bb2a238f0c3a"/>
                    <pic:cNvPicPr>
                      <a:picLocks noChangeAspect="1"/>
                    </pic:cNvPicPr>
                  </pic:nvPicPr>
                  <pic:blipFill>
                    <a:blip r:embed="rId15"/>
                    <a:srcRect l="2115" t="2479" r="1766" b="43421"/>
                    <a:stretch>
                      <a:fillRect/>
                    </a:stretch>
                  </pic:blipFill>
                  <pic:spPr>
                    <a:xfrm>
                      <a:off x="0" y="0"/>
                      <a:ext cx="5400040" cy="1692275"/>
                    </a:xfrm>
                    <a:prstGeom prst="rect">
                      <a:avLst/>
                    </a:prstGeom>
                    <a:noFill/>
                    <a:ln w="12700">
                      <a:solidFill>
                        <a:schemeClr val="tx1"/>
                      </a:solidFill>
                    </a:ln>
                  </pic:spPr>
                </pic:pic>
              </a:graphicData>
            </a:graphic>
          </wp:inline>
        </w:drawing>
      </w:r>
    </w:p>
    <w:p w14:paraId="37E63BEF">
      <w:pPr>
        <w:spacing w:line="600" w:lineRule="atLeast"/>
        <w:jc w:val="both"/>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lang w:val="en-US" w:eastAsia="zh-CN"/>
        </w:rPr>
        <w:drawing>
          <wp:inline distT="0" distB="0" distL="114300" distR="114300">
            <wp:extent cx="5400040" cy="1692275"/>
            <wp:effectExtent l="12700" t="12700" r="16510" b="28575"/>
            <wp:docPr id="12" name="图片 12" descr="58461df677b0fa97e55a02b51bb14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8461df677b0fa97e55a02b51bb147a"/>
                    <pic:cNvPicPr>
                      <a:picLocks noChangeAspect="1"/>
                    </pic:cNvPicPr>
                  </pic:nvPicPr>
                  <pic:blipFill>
                    <a:blip r:embed="rId16"/>
                    <a:srcRect l="1901" r="1688" b="45815"/>
                    <a:stretch>
                      <a:fillRect/>
                    </a:stretch>
                  </pic:blipFill>
                  <pic:spPr>
                    <a:xfrm>
                      <a:off x="0" y="0"/>
                      <a:ext cx="5400040" cy="1692275"/>
                    </a:xfrm>
                    <a:prstGeom prst="rect">
                      <a:avLst/>
                    </a:prstGeom>
                    <a:noFill/>
                    <a:ln w="12700">
                      <a:solidFill>
                        <a:schemeClr val="tx1"/>
                      </a:solidFill>
                    </a:ln>
                  </pic:spPr>
                </pic:pic>
              </a:graphicData>
            </a:graphic>
          </wp:inline>
        </w:drawing>
      </w:r>
    </w:p>
    <w:p w14:paraId="77797DF3">
      <w:pPr>
        <w:spacing w:line="60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（二）达标标准</w:t>
      </w:r>
    </w:p>
    <w:p w14:paraId="26A0E1C4">
      <w:pPr>
        <w:spacing w:line="60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按照《排污许可证申请与核发技术规范</w:t>
      </w:r>
      <w:r>
        <w:rPr>
          <w:rFonts w:hint="eastAsia" w:ascii="方正仿宋_GBK" w:hAnsi="方正仿宋_GBK" w:eastAsia="方正仿宋_GBK" w:cs="方正仿宋_GBK"/>
          <w:b w:val="0"/>
          <w:bCs w:val="0"/>
          <w:color w:val="auto"/>
          <w:sz w:val="32"/>
          <w:szCs w:val="32"/>
          <w:highlight w:val="none"/>
          <w:lang w:val="en-US" w:eastAsia="zh-CN"/>
        </w:rPr>
        <w:t xml:space="preserve"> </w:t>
      </w:r>
      <w:r>
        <w:rPr>
          <w:rFonts w:hint="eastAsia" w:ascii="方正仿宋_GBK" w:hAnsi="方正仿宋_GBK" w:eastAsia="方正仿宋_GBK" w:cs="方正仿宋_GBK"/>
          <w:b w:val="0"/>
          <w:bCs w:val="0"/>
          <w:color w:val="auto"/>
          <w:sz w:val="32"/>
          <w:szCs w:val="32"/>
          <w:highlight w:val="none"/>
          <w:lang w:val="en-US" w:eastAsia="en-US"/>
        </w:rPr>
        <w:t>工业固体废物（试行）》（HJ</w:t>
      </w:r>
      <w:r>
        <w:rPr>
          <w:rFonts w:hint="eastAsia" w:ascii="方正仿宋_GBK" w:hAnsi="方正仿宋_GBK" w:eastAsia="方正仿宋_GBK" w:cs="方正仿宋_GBK"/>
          <w:b w:val="0"/>
          <w:bCs w:val="0"/>
          <w:color w:val="auto"/>
          <w:sz w:val="32"/>
          <w:szCs w:val="32"/>
          <w:highlight w:val="none"/>
          <w:lang w:val="en-US" w:eastAsia="zh-CN"/>
        </w:rPr>
        <w:t xml:space="preserve"> </w:t>
      </w:r>
      <w:r>
        <w:rPr>
          <w:rFonts w:hint="eastAsia" w:ascii="方正仿宋_GBK" w:hAnsi="方正仿宋_GBK" w:eastAsia="方正仿宋_GBK" w:cs="方正仿宋_GBK"/>
          <w:b w:val="0"/>
          <w:bCs w:val="0"/>
          <w:color w:val="auto"/>
          <w:sz w:val="32"/>
          <w:szCs w:val="32"/>
          <w:highlight w:val="none"/>
          <w:lang w:val="en-US" w:eastAsia="en-US"/>
        </w:rPr>
        <w:t>1200）和相关行业排污许可证申请与核发技术规范申领排污许可证，核发的排污许可证中载明</w:t>
      </w:r>
      <w:r>
        <w:rPr>
          <w:rFonts w:hint="eastAsia" w:ascii="方正仿宋_GBK" w:hAnsi="方正仿宋_GBK" w:eastAsia="方正仿宋_GBK" w:cs="方正仿宋_GBK"/>
          <w:b w:val="0"/>
          <w:bCs w:val="0"/>
          <w:color w:val="auto"/>
          <w:sz w:val="32"/>
          <w:szCs w:val="32"/>
          <w:highlight w:val="none"/>
          <w:lang w:val="en-US" w:eastAsia="zh-CN"/>
        </w:rPr>
        <w:t>一般工业固废的排放信息及环境管理要求。</w:t>
      </w:r>
    </w:p>
    <w:p w14:paraId="5AF23137">
      <w:pPr>
        <w:spacing w:line="60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en-US"/>
        </w:rPr>
      </w:pPr>
      <w:r>
        <w:rPr>
          <w:rFonts w:hint="eastAsia" w:ascii="方正楷体_GBK" w:hAnsi="方正楷体_GBK" w:eastAsia="方正楷体_GBK" w:cs="方正楷体_GBK"/>
          <w:b w:val="0"/>
          <w:bCs w:val="0"/>
          <w:color w:val="auto"/>
          <w:sz w:val="32"/>
          <w:szCs w:val="32"/>
          <w:highlight w:val="none"/>
          <w:lang w:val="en-US" w:eastAsia="zh-CN"/>
        </w:rPr>
        <w:t>（三）注意事项</w:t>
      </w:r>
    </w:p>
    <w:p w14:paraId="7FCB1922">
      <w:pPr>
        <w:spacing w:line="60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rPr>
        <w:t>2022年1月1日前已经申请取得排污许可证的产生单位，在排污许可证有效期内无需针对环境管理要求单独申请变更或重新申请排污许可证。本项细则</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rPr>
        <w:t>评估得分</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rPr>
        <w:t>记满分。</w:t>
      </w:r>
    </w:p>
    <w:p w14:paraId="33E3A113">
      <w:pPr>
        <w:spacing w:line="60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en-US"/>
        </w:rPr>
      </w:pPr>
      <w:r>
        <w:rPr>
          <w:rFonts w:hint="eastAsia" w:ascii="方正楷体_GBK" w:hAnsi="方正楷体_GBK" w:eastAsia="方正楷体_GBK" w:cs="方正楷体_GBK"/>
          <w:b w:val="0"/>
          <w:bCs w:val="0"/>
          <w:color w:val="auto"/>
          <w:sz w:val="32"/>
          <w:szCs w:val="32"/>
          <w:highlight w:val="none"/>
          <w:lang w:val="en-US" w:eastAsia="en-US"/>
        </w:rPr>
        <w:t>（四）法律依据</w:t>
      </w:r>
    </w:p>
    <w:p w14:paraId="22C07EAD">
      <w:pPr>
        <w:spacing w:line="60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w:t>
      </w:r>
      <w:r>
        <w:rPr>
          <w:rFonts w:hint="eastAsia" w:ascii="方正仿宋_GBK" w:hAnsi="方正仿宋_GBK" w:eastAsia="方正仿宋_GBK" w:cs="方正仿宋_GBK"/>
          <w:b w:val="0"/>
          <w:bCs w:val="0"/>
          <w:color w:val="auto"/>
          <w:sz w:val="32"/>
          <w:szCs w:val="32"/>
          <w:highlight w:val="none"/>
          <w:lang w:val="en-US" w:eastAsia="en-US"/>
        </w:rPr>
        <w:t>《固废法》第三十九条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产生工业固体废物的单位应当取得排污许可证。排污许可的具体办法和实施步骤由国务院规定</w:t>
      </w:r>
      <w:r>
        <w:rPr>
          <w:rFonts w:hint="eastAsia" w:ascii="方正仿宋_GBK" w:hAnsi="方正仿宋_GBK" w:eastAsia="方正仿宋_GBK" w:cs="方正仿宋_GBK"/>
          <w:b w:val="0"/>
          <w:bCs w:val="0"/>
          <w:color w:val="auto"/>
          <w:sz w:val="32"/>
          <w:szCs w:val="32"/>
          <w:highlight w:val="none"/>
          <w:lang w:val="en-US" w:eastAsia="zh-CN"/>
        </w:rPr>
        <w:t>。</w:t>
      </w:r>
    </w:p>
    <w:p w14:paraId="23CECABC">
      <w:pPr>
        <w:spacing w:line="60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z w:val="32"/>
          <w:szCs w:val="32"/>
          <w:highlight w:val="none"/>
          <w:lang w:val="en-US" w:eastAsia="en-US"/>
        </w:rPr>
        <w:t>《排污许可管理条例》（国务院令第736号）</w:t>
      </w:r>
      <w:r>
        <w:rPr>
          <w:rFonts w:hint="eastAsia" w:ascii="方正仿宋_GBK" w:hAnsi="方正仿宋_GBK" w:eastAsia="方正仿宋_GBK" w:cs="方正仿宋_GBK"/>
          <w:b w:val="0"/>
          <w:bCs w:val="0"/>
          <w:color w:val="auto"/>
          <w:sz w:val="32"/>
          <w:szCs w:val="32"/>
          <w:highlight w:val="none"/>
          <w:lang w:val="en-US" w:eastAsia="zh-CN"/>
        </w:rPr>
        <w:t>。</w:t>
      </w:r>
    </w:p>
    <w:p w14:paraId="72C1B5D9">
      <w:pPr>
        <w:spacing w:line="60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（3）</w:t>
      </w:r>
      <w:r>
        <w:rPr>
          <w:rFonts w:hint="eastAsia" w:ascii="方正仿宋_GBK" w:hAnsi="方正仿宋_GBK" w:eastAsia="方正仿宋_GBK" w:cs="方正仿宋_GBK"/>
          <w:b w:val="0"/>
          <w:bCs w:val="0"/>
          <w:color w:val="auto"/>
          <w:sz w:val="32"/>
          <w:szCs w:val="32"/>
          <w:highlight w:val="none"/>
          <w:lang w:val="en-US" w:eastAsia="en-US"/>
        </w:rPr>
        <w:t>《排污许可管理办法》（生态环境部令2024年第32号）</w:t>
      </w:r>
      <w:r>
        <w:rPr>
          <w:rFonts w:hint="eastAsia" w:ascii="方正仿宋_GBK" w:hAnsi="方正仿宋_GBK" w:eastAsia="方正仿宋_GBK" w:cs="方正仿宋_GBK"/>
          <w:b w:val="0"/>
          <w:bCs w:val="0"/>
          <w:color w:val="auto"/>
          <w:sz w:val="32"/>
          <w:szCs w:val="32"/>
          <w:highlight w:val="none"/>
          <w:lang w:val="en-US" w:eastAsia="zh-CN"/>
        </w:rPr>
        <w:t>。</w:t>
      </w:r>
    </w:p>
    <w:p w14:paraId="40C93BAD">
      <w:pPr>
        <w:spacing w:line="60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（4）</w:t>
      </w:r>
      <w:r>
        <w:rPr>
          <w:rFonts w:hint="eastAsia" w:ascii="方正仿宋_GBK" w:hAnsi="方正仿宋_GBK" w:eastAsia="方正仿宋_GBK" w:cs="方正仿宋_GBK"/>
          <w:b w:val="0"/>
          <w:bCs w:val="0"/>
          <w:color w:val="auto"/>
          <w:sz w:val="32"/>
          <w:szCs w:val="32"/>
          <w:highlight w:val="none"/>
          <w:lang w:val="en-US" w:eastAsia="en-US"/>
        </w:rPr>
        <w:t>《排污许可证申请与核发技术规范工业固体废物（试行）》（HJ</w:t>
      </w:r>
      <w:r>
        <w:rPr>
          <w:rFonts w:hint="eastAsia" w:ascii="方正仿宋_GBK" w:hAnsi="方正仿宋_GBK" w:eastAsia="方正仿宋_GBK" w:cs="方正仿宋_GBK"/>
          <w:b w:val="0"/>
          <w:bCs w:val="0"/>
          <w:color w:val="auto"/>
          <w:sz w:val="32"/>
          <w:szCs w:val="32"/>
          <w:highlight w:val="none"/>
          <w:lang w:val="en-US" w:eastAsia="zh-CN"/>
        </w:rPr>
        <w:t xml:space="preserve"> </w:t>
      </w:r>
      <w:r>
        <w:rPr>
          <w:rFonts w:hint="eastAsia" w:ascii="方正仿宋_GBK" w:hAnsi="方正仿宋_GBK" w:eastAsia="方正仿宋_GBK" w:cs="方正仿宋_GBK"/>
          <w:b w:val="0"/>
          <w:bCs w:val="0"/>
          <w:color w:val="auto"/>
          <w:sz w:val="32"/>
          <w:szCs w:val="32"/>
          <w:highlight w:val="none"/>
          <w:lang w:val="en-US" w:eastAsia="en-US"/>
        </w:rPr>
        <w:t>1200）</w:t>
      </w:r>
      <w:r>
        <w:rPr>
          <w:rFonts w:hint="eastAsia" w:ascii="方正仿宋_GBK" w:hAnsi="方正仿宋_GBK" w:eastAsia="方正仿宋_GBK" w:cs="方正仿宋_GBK"/>
          <w:b w:val="0"/>
          <w:bCs w:val="0"/>
          <w:color w:val="auto"/>
          <w:sz w:val="32"/>
          <w:szCs w:val="32"/>
          <w:highlight w:val="none"/>
          <w:lang w:val="en-US" w:eastAsia="zh-CN"/>
        </w:rPr>
        <w:t>。</w:t>
      </w:r>
    </w:p>
    <w:p w14:paraId="62C5A237">
      <w:pPr>
        <w:spacing w:line="60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（5）</w:t>
      </w:r>
      <w:r>
        <w:rPr>
          <w:rFonts w:hint="eastAsia" w:ascii="方正仿宋_GBK" w:hAnsi="方正仿宋_GBK" w:eastAsia="方正仿宋_GBK" w:cs="方正仿宋_GBK"/>
          <w:b w:val="0"/>
          <w:bCs w:val="0"/>
          <w:color w:val="auto"/>
          <w:sz w:val="32"/>
          <w:szCs w:val="32"/>
          <w:highlight w:val="none"/>
          <w:lang w:val="en-US" w:eastAsia="en-US"/>
        </w:rPr>
        <w:t>《关于开展工业固体废物排污许可管理工作的通知》（环办环评〔2021〕26号）</w:t>
      </w:r>
      <w:r>
        <w:rPr>
          <w:rFonts w:hint="eastAsia" w:ascii="方正仿宋_GBK" w:hAnsi="方正仿宋_GBK" w:eastAsia="方正仿宋_GBK" w:cs="方正仿宋_GBK"/>
          <w:b w:val="0"/>
          <w:bCs w:val="0"/>
          <w:color w:val="auto"/>
          <w:sz w:val="32"/>
          <w:szCs w:val="32"/>
          <w:highlight w:val="none"/>
          <w:lang w:val="en-US" w:eastAsia="zh-CN"/>
        </w:rPr>
        <w:t>。</w:t>
      </w:r>
    </w:p>
    <w:p w14:paraId="39C63357">
      <w:pPr>
        <w:spacing w:line="600" w:lineRule="atLeast"/>
        <w:ind w:firstLine="640" w:firstLineChars="200"/>
        <w:jc w:val="left"/>
        <w:outlineLvl w:val="9"/>
        <w:rPr>
          <w:rFonts w:hint="eastAsia" w:ascii="方正黑体_GBK" w:hAnsi="方正黑体_GBK" w:eastAsia="方正黑体_GBK" w:cs="方正黑体_GBK"/>
          <w:b w:val="0"/>
          <w:bCs w:val="0"/>
          <w:color w:val="auto"/>
          <w:kern w:val="0"/>
          <w:sz w:val="32"/>
          <w:szCs w:val="32"/>
          <w:highlight w:val="none"/>
          <w:shd w:val="clear" w:color="auto" w:fill="FFFFFF"/>
          <w:lang w:val="en-US" w:eastAsia="zh-CN"/>
        </w:rPr>
      </w:pPr>
      <w:r>
        <w:rPr>
          <w:rFonts w:hint="eastAsia" w:ascii="方正黑体_GBK" w:hAnsi="方正黑体_GBK" w:eastAsia="方正黑体_GBK" w:cs="方正黑体_GBK"/>
          <w:b w:val="0"/>
          <w:bCs w:val="0"/>
          <w:color w:val="auto"/>
          <w:kern w:val="0"/>
          <w:sz w:val="32"/>
          <w:szCs w:val="32"/>
          <w:highlight w:val="none"/>
          <w:shd w:val="clear" w:color="auto" w:fill="FFFFFF"/>
          <w:lang w:val="en-US" w:eastAsia="zh-CN"/>
        </w:rPr>
        <w:t>三、清洁生产制度</w:t>
      </w:r>
    </w:p>
    <w:p w14:paraId="4E2730EA">
      <w:pPr>
        <w:spacing w:line="600" w:lineRule="atLeas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（一）评估要点</w:t>
      </w:r>
    </w:p>
    <w:p w14:paraId="471BC094">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（1）依据重庆市生态环境局《</w:t>
      </w:r>
      <w:r>
        <w:rPr>
          <w:rFonts w:hint="eastAsia" w:ascii="方正仿宋_GBK" w:hAnsi="方正仿宋_GBK" w:eastAsia="方正仿宋_GBK" w:cs="方正仿宋_GBK"/>
          <w:b w:val="0"/>
          <w:bCs w:val="0"/>
          <w:color w:val="auto"/>
          <w:sz w:val="32"/>
          <w:szCs w:val="32"/>
          <w:highlight w:val="none"/>
          <w:lang w:val="en-US" w:eastAsia="en-US"/>
        </w:rPr>
        <w:t>关于推荐清洁生产审核创新试点项目的通知》</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渝环〔2022〕73号</w:t>
      </w:r>
      <w:r>
        <w:rPr>
          <w:rFonts w:hint="eastAsia" w:ascii="方正仿宋_GBK" w:hAnsi="方正仿宋_GBK" w:eastAsia="方正仿宋_GBK" w:cs="方正仿宋_GBK"/>
          <w:b w:val="0"/>
          <w:bCs w:val="0"/>
          <w:color w:val="auto"/>
          <w:sz w:val="32"/>
          <w:szCs w:val="32"/>
          <w:highlight w:val="none"/>
          <w:lang w:val="en-US" w:eastAsia="zh-CN"/>
        </w:rPr>
        <w:t>）和市级或区级《20XX</w:t>
      </w:r>
      <w:r>
        <w:rPr>
          <w:rFonts w:hint="eastAsia" w:ascii="方正仿宋_GBK" w:hAnsi="方正仿宋_GBK" w:eastAsia="方正仿宋_GBK" w:cs="方正仿宋_GBK"/>
          <w:b w:val="0"/>
          <w:bCs w:val="0"/>
          <w:color w:val="auto"/>
          <w:sz w:val="32"/>
          <w:szCs w:val="32"/>
          <w:highlight w:val="none"/>
          <w:lang w:val="en-US" w:eastAsia="en-US"/>
        </w:rPr>
        <w:t>年度清洁生产审核企业名单</w:t>
      </w:r>
      <w:r>
        <w:rPr>
          <w:rFonts w:hint="eastAsia" w:ascii="方正仿宋_GBK" w:hAnsi="方正仿宋_GBK" w:eastAsia="方正仿宋_GBK" w:cs="方正仿宋_GBK"/>
          <w:b w:val="0"/>
          <w:bCs w:val="0"/>
          <w:color w:val="auto"/>
          <w:sz w:val="32"/>
          <w:szCs w:val="32"/>
          <w:highlight w:val="none"/>
          <w:lang w:val="en-US" w:eastAsia="zh-CN"/>
        </w:rPr>
        <w:t>》等文件，相关企业应依法依规</w:t>
      </w:r>
      <w:r>
        <w:rPr>
          <w:rFonts w:hint="eastAsia" w:ascii="方正仿宋_GBK" w:hAnsi="方正仿宋_GBK" w:eastAsia="方正仿宋_GBK" w:cs="方正仿宋_GBK"/>
          <w:b w:val="0"/>
          <w:bCs w:val="0"/>
          <w:color w:val="auto"/>
          <w:sz w:val="32"/>
          <w:szCs w:val="32"/>
          <w:highlight w:val="none"/>
          <w:lang w:val="en-US" w:eastAsia="en-US"/>
        </w:rPr>
        <w:t>实施清洁生产审核</w:t>
      </w:r>
      <w:r>
        <w:rPr>
          <w:rFonts w:hint="eastAsia" w:ascii="方正仿宋_GBK" w:hAnsi="方正仿宋_GBK" w:eastAsia="方正仿宋_GBK" w:cs="方正仿宋_GBK"/>
          <w:b w:val="0"/>
          <w:bCs w:val="0"/>
          <w:color w:val="auto"/>
          <w:sz w:val="32"/>
          <w:szCs w:val="32"/>
          <w:highlight w:val="none"/>
          <w:lang w:val="en-US" w:eastAsia="zh-CN"/>
        </w:rPr>
        <w:t>。</w:t>
      </w:r>
    </w:p>
    <w:p w14:paraId="3A6287FD">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600" w:lineRule="atLeast"/>
        <w:ind w:right="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rPr>
        <w:drawing>
          <wp:inline distT="0" distB="0" distL="114300" distR="114300">
            <wp:extent cx="5652135" cy="1419860"/>
            <wp:effectExtent l="12700" t="12700" r="31115" b="1524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7"/>
                    <a:stretch>
                      <a:fillRect/>
                    </a:stretch>
                  </pic:blipFill>
                  <pic:spPr>
                    <a:xfrm>
                      <a:off x="0" y="0"/>
                      <a:ext cx="5652135" cy="1419860"/>
                    </a:xfrm>
                    <a:prstGeom prst="rect">
                      <a:avLst/>
                    </a:prstGeom>
                    <a:noFill/>
                    <a:ln w="12700">
                      <a:solidFill>
                        <a:schemeClr val="tx1"/>
                      </a:solidFill>
                    </a:ln>
                  </pic:spPr>
                </pic:pic>
              </a:graphicData>
            </a:graphic>
          </wp:inline>
        </w:drawing>
      </w:r>
    </w:p>
    <w:p w14:paraId="2918271E">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z w:val="32"/>
          <w:szCs w:val="32"/>
          <w:highlight w:val="none"/>
          <w:lang w:val="en-US" w:eastAsia="en-US"/>
        </w:rPr>
        <w:t>实施强制性清洁生产审核的企业，</w:t>
      </w:r>
      <w:r>
        <w:rPr>
          <w:rFonts w:hint="eastAsia" w:ascii="方正仿宋_GBK" w:hAnsi="方正仿宋_GBK" w:eastAsia="方正仿宋_GBK" w:cs="方正仿宋_GBK"/>
          <w:b w:val="0"/>
          <w:bCs w:val="0"/>
          <w:color w:val="auto"/>
          <w:sz w:val="32"/>
          <w:szCs w:val="32"/>
          <w:highlight w:val="none"/>
          <w:lang w:val="en-US" w:eastAsia="zh-CN"/>
        </w:rPr>
        <w:t>应通过清洁生产审核</w:t>
      </w:r>
      <w:r>
        <w:rPr>
          <w:rFonts w:hint="eastAsia" w:ascii="方正仿宋_GBK" w:hAnsi="方正仿宋_GBK" w:eastAsia="方正仿宋_GBK" w:cs="方正仿宋_GBK"/>
          <w:b w:val="0"/>
          <w:bCs w:val="0"/>
          <w:color w:val="auto"/>
          <w:sz w:val="32"/>
          <w:szCs w:val="32"/>
          <w:highlight w:val="none"/>
          <w:lang w:val="en-US" w:eastAsia="en-US"/>
        </w:rPr>
        <w:t>减少一般工业固体废物</w:t>
      </w:r>
      <w:r>
        <w:rPr>
          <w:rFonts w:hint="eastAsia" w:ascii="方正仿宋_GBK" w:hAnsi="方正仿宋_GBK" w:eastAsia="方正仿宋_GBK" w:cs="方正仿宋_GBK"/>
          <w:b w:val="0"/>
          <w:bCs w:val="0"/>
          <w:color w:val="auto"/>
          <w:sz w:val="32"/>
          <w:szCs w:val="32"/>
          <w:highlight w:val="none"/>
          <w:lang w:val="en-US" w:eastAsia="zh-CN"/>
        </w:rPr>
        <w:t>的</w:t>
      </w:r>
      <w:r>
        <w:rPr>
          <w:rFonts w:hint="eastAsia" w:ascii="方正仿宋_GBK" w:hAnsi="方正仿宋_GBK" w:eastAsia="方正仿宋_GBK" w:cs="方正仿宋_GBK"/>
          <w:b w:val="0"/>
          <w:bCs w:val="0"/>
          <w:color w:val="auto"/>
          <w:sz w:val="32"/>
          <w:szCs w:val="32"/>
          <w:highlight w:val="none"/>
          <w:lang w:val="en-US" w:eastAsia="en-US"/>
        </w:rPr>
        <w:t>产生量，并将实施情况纳入清洁生产审核报告。</w:t>
      </w:r>
    </w:p>
    <w:p w14:paraId="198F7AB0">
      <w:pPr>
        <w:spacing w:line="600" w:lineRule="atLeas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（二）达标标准</w:t>
      </w:r>
    </w:p>
    <w:p w14:paraId="2DAAD559">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执行</w:t>
      </w:r>
      <w:r>
        <w:rPr>
          <w:rFonts w:hint="eastAsia" w:ascii="方正仿宋_GBK" w:hAnsi="方正仿宋_GBK" w:eastAsia="方正仿宋_GBK" w:cs="方正仿宋_GBK"/>
          <w:b w:val="0"/>
          <w:bCs w:val="0"/>
          <w:color w:val="auto"/>
          <w:sz w:val="32"/>
          <w:szCs w:val="32"/>
          <w:highlight w:val="none"/>
          <w:lang w:val="en-US" w:eastAsia="en-US"/>
        </w:rPr>
        <w:t>强制性清洁生产审核的企业</w:t>
      </w:r>
      <w:r>
        <w:rPr>
          <w:rFonts w:hint="eastAsia" w:ascii="方正仿宋_GBK" w:hAnsi="方正仿宋_GBK" w:eastAsia="方正仿宋_GBK" w:cs="方正仿宋_GBK"/>
          <w:b w:val="0"/>
          <w:bCs w:val="0"/>
          <w:color w:val="auto"/>
          <w:sz w:val="32"/>
          <w:szCs w:val="32"/>
          <w:highlight w:val="none"/>
          <w:lang w:val="en-US" w:eastAsia="zh-CN"/>
        </w:rPr>
        <w:t>按规定实施清洁生产审核，减少了一般工业固体废物产生量</w:t>
      </w:r>
      <w:r>
        <w:rPr>
          <w:rFonts w:hint="eastAsia" w:ascii="方正仿宋_GBK" w:hAnsi="方正仿宋_GBK" w:eastAsia="方正仿宋_GBK" w:cs="方正仿宋_GBK"/>
          <w:b w:val="0"/>
          <w:bCs w:val="0"/>
          <w:color w:val="auto"/>
          <w:sz w:val="32"/>
          <w:szCs w:val="32"/>
          <w:highlight w:val="none"/>
          <w:lang w:val="en-US" w:eastAsia="en-US"/>
        </w:rPr>
        <w:t>，并将实施情况纳入清洁生产审核报告。</w:t>
      </w:r>
    </w:p>
    <w:p w14:paraId="68D5C780">
      <w:pPr>
        <w:spacing w:line="600" w:lineRule="atLeas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（三）注意事项</w:t>
      </w:r>
    </w:p>
    <w:p w14:paraId="6904A0AB">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未列入市级或区级“清洁生产审核企业名单”的企业，该项制度不计分。</w:t>
      </w:r>
    </w:p>
    <w:p w14:paraId="571B319B">
      <w:pPr>
        <w:spacing w:line="600" w:lineRule="atLeas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（四）法律依据</w:t>
      </w:r>
    </w:p>
    <w:p w14:paraId="2A037A1E">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固废法》第三十八条：产生工业固体废物的单位应当依法实施清洁生产审核，合理选择和利用原材料、能源和其他资源，采用先进的生产工艺和设备，减少工业固体废物的产生量，降低工业固体废物的危害性。</w:t>
      </w:r>
    </w:p>
    <w:p w14:paraId="628BD306">
      <w:pPr>
        <w:spacing w:line="600" w:lineRule="atLeast"/>
        <w:ind w:firstLine="640" w:firstLineChars="200"/>
        <w:jc w:val="both"/>
        <w:rPr>
          <w:rFonts w:hint="eastAsia" w:ascii="方正仿宋_GBK" w:hAnsi="方正仿宋_GBK" w:eastAsia="方正仿宋_GBK" w:cs="方正仿宋_GBK"/>
          <w:b w:val="0"/>
          <w:bCs w:val="0"/>
          <w:snapToGrid/>
          <w:color w:val="auto"/>
          <w:spacing w:val="0"/>
          <w:kern w:val="2"/>
          <w:sz w:val="32"/>
          <w:szCs w:val="32"/>
          <w:highlight w:val="none"/>
          <w:lang w:val="en-US" w:eastAsia="zh-CN" w:bidi="ar-SA"/>
          <w14:ligatures w14:val="standardContextual"/>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snapToGrid/>
          <w:color w:val="auto"/>
          <w:spacing w:val="0"/>
          <w:kern w:val="2"/>
          <w:sz w:val="32"/>
          <w:szCs w:val="32"/>
          <w:highlight w:val="none"/>
          <w:lang w:val="en-US" w:eastAsia="zh-CN" w:bidi="ar-SA"/>
          <w14:ligatures w14:val="standardContextual"/>
        </w:rPr>
        <w:t>《中华人民共和国清洁生产促进法》（中华人民共和国主席令第72号）；</w:t>
      </w:r>
    </w:p>
    <w:p w14:paraId="40A85991">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snapToGrid/>
          <w:color w:val="auto"/>
          <w:spacing w:val="0"/>
          <w:kern w:val="2"/>
          <w:sz w:val="32"/>
          <w:szCs w:val="32"/>
          <w:highlight w:val="none"/>
          <w:lang w:val="en-US" w:eastAsia="zh-CN" w:bidi="ar-SA"/>
          <w14:ligatures w14:val="standardContextual"/>
        </w:rPr>
        <w:t>（3）《清洁生产审核办法》（国家发展改革委、环境保护部令第38号）</w:t>
      </w:r>
    </w:p>
    <w:p w14:paraId="0BBC0CC7">
      <w:pPr>
        <w:spacing w:line="600" w:lineRule="atLeast"/>
        <w:ind w:firstLine="640" w:firstLineChars="200"/>
        <w:jc w:val="left"/>
        <w:outlineLvl w:val="9"/>
        <w:rPr>
          <w:rFonts w:hint="eastAsia" w:ascii="方正黑体_GBK" w:hAnsi="方正黑体_GBK" w:eastAsia="方正黑体_GBK" w:cs="方正黑体_GBK"/>
          <w:b w:val="0"/>
          <w:bCs w:val="0"/>
          <w:color w:val="auto"/>
          <w:kern w:val="0"/>
          <w:sz w:val="32"/>
          <w:szCs w:val="32"/>
          <w:highlight w:val="none"/>
          <w:shd w:val="clear" w:color="auto" w:fill="FFFFFF"/>
          <w:lang w:val="en-US" w:eastAsia="zh-CN"/>
        </w:rPr>
      </w:pPr>
      <w:r>
        <w:rPr>
          <w:rFonts w:hint="eastAsia" w:ascii="方正黑体_GBK" w:hAnsi="方正黑体_GBK" w:eastAsia="方正黑体_GBK" w:cs="方正黑体_GBK"/>
          <w:b w:val="0"/>
          <w:bCs w:val="0"/>
          <w:color w:val="auto"/>
          <w:kern w:val="0"/>
          <w:sz w:val="32"/>
          <w:szCs w:val="32"/>
          <w:highlight w:val="none"/>
          <w:shd w:val="clear" w:color="auto" w:fill="FFFFFF"/>
          <w:lang w:val="en-US" w:eastAsia="zh-CN"/>
        </w:rPr>
        <w:t>四、管理台账制度</w:t>
      </w:r>
    </w:p>
    <w:p w14:paraId="7C33A607">
      <w:pPr>
        <w:spacing w:line="600" w:lineRule="atLeas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（一）评估要点</w:t>
      </w:r>
    </w:p>
    <w:p w14:paraId="75A137BF">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w:t>
      </w:r>
      <w:r>
        <w:rPr>
          <w:rFonts w:hint="eastAsia" w:ascii="方正仿宋_GBK" w:hAnsi="方正仿宋_GBK" w:eastAsia="方正仿宋_GBK" w:cs="方正仿宋_GBK"/>
          <w:b w:val="0"/>
          <w:bCs w:val="0"/>
          <w:snapToGrid/>
          <w:color w:val="auto"/>
          <w:spacing w:val="0"/>
          <w:kern w:val="0"/>
          <w:sz w:val="32"/>
          <w:szCs w:val="32"/>
          <w:highlight w:val="none"/>
          <w:lang w:val="en-US" w:eastAsia="zh-CN"/>
        </w:rPr>
        <w:t>产生一般工业固体废物的规模以上、年产生量100吨及以上（近三年内）的企业</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，应当建立产生、入库、出库、自行利用处置等各环节的电子台账，全面、准确地记录一般工业固体废物种类、代码、数量、流向、贮存、利用、处置等信息。</w:t>
      </w:r>
    </w:p>
    <w:p w14:paraId="00EFC199">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（2）依据《一般工业固体废物管理台账制定指南（试行）》（生态环境部公告2021年第82号）和相关行业标准，一般工业固体废物产生单位应当设立专人负责台账的管理与归档，且管理台账的保存期限不少于5年。</w:t>
      </w:r>
    </w:p>
    <w:p w14:paraId="2748B5AA">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（3）</w:t>
      </w:r>
      <w:r>
        <w:rPr>
          <w:rFonts w:hint="eastAsia" w:ascii="方正仿宋_GBK" w:hAnsi="方正仿宋_GBK" w:eastAsia="方正仿宋_GBK" w:cs="方正仿宋_GBK"/>
          <w:b w:val="0"/>
          <w:bCs w:val="0"/>
          <w:color w:val="auto"/>
          <w:sz w:val="32"/>
          <w:szCs w:val="32"/>
          <w:highlight w:val="none"/>
          <w:lang w:val="en-US" w:eastAsia="en-US"/>
        </w:rPr>
        <w:t>产生尾矿的单位应当</w:t>
      </w:r>
      <w:r>
        <w:rPr>
          <w:rFonts w:hint="eastAsia" w:ascii="方正仿宋_GBK" w:hAnsi="方正仿宋_GBK" w:eastAsia="方正仿宋_GBK" w:cs="方正仿宋_GBK"/>
          <w:b w:val="0"/>
          <w:bCs w:val="0"/>
          <w:snapToGrid/>
          <w:color w:val="auto"/>
          <w:spacing w:val="0"/>
          <w:kern w:val="2"/>
          <w:sz w:val="32"/>
          <w:szCs w:val="32"/>
          <w:highlight w:val="none"/>
          <w:lang w:val="en-US" w:eastAsia="en-US" w:bidi="ar-SA"/>
          <w14:ligatures w14:val="standardContextual"/>
        </w:rPr>
        <w:t>通过</w:t>
      </w:r>
      <w:r>
        <w:rPr>
          <w:rFonts w:hint="eastAsia" w:ascii="方正仿宋_GBK" w:hAnsi="方正仿宋_GBK" w:eastAsia="方正仿宋_GBK" w:cs="方正仿宋_GBK"/>
          <w:b w:val="0"/>
          <w:bCs w:val="0"/>
          <w:snapToGrid/>
          <w:color w:val="auto"/>
          <w:spacing w:val="0"/>
          <w:kern w:val="2"/>
          <w:sz w:val="32"/>
          <w:szCs w:val="32"/>
          <w:highlight w:val="none"/>
          <w:lang w:val="en-US" w:eastAsia="zh-CN" w:bidi="ar-SA"/>
          <w14:ligatures w14:val="standardContextual"/>
        </w:rPr>
        <w:t>“</w:t>
      </w:r>
      <w:r>
        <w:rPr>
          <w:rFonts w:hint="eastAsia" w:ascii="方正仿宋_GBK" w:hAnsi="方正仿宋_GBK" w:eastAsia="方正仿宋_GBK" w:cs="方正仿宋_GBK"/>
          <w:b w:val="0"/>
          <w:bCs w:val="0"/>
          <w:snapToGrid/>
          <w:color w:val="auto"/>
          <w:spacing w:val="0"/>
          <w:kern w:val="2"/>
          <w:sz w:val="32"/>
          <w:szCs w:val="32"/>
          <w:highlight w:val="none"/>
          <w:lang w:val="en-US" w:eastAsia="en-US" w:bidi="ar-SA"/>
          <w14:ligatures w14:val="standardContextual"/>
        </w:rPr>
        <w:t>全国固体废物和化学品管理信息系统—尾矿环境管理信息子系统</w:t>
      </w:r>
      <w:r>
        <w:rPr>
          <w:rFonts w:hint="eastAsia" w:ascii="方正仿宋_GBK" w:hAnsi="方正仿宋_GBK" w:eastAsia="方正仿宋_GBK" w:cs="方正仿宋_GBK"/>
          <w:b w:val="0"/>
          <w:bCs w:val="0"/>
          <w:snapToGrid/>
          <w:color w:val="auto"/>
          <w:spacing w:val="0"/>
          <w:kern w:val="2"/>
          <w:sz w:val="32"/>
          <w:szCs w:val="32"/>
          <w:highlight w:val="none"/>
          <w:lang w:val="en-US" w:eastAsia="zh-CN" w:bidi="ar-SA"/>
          <w14:ligatures w14:val="standardContextual"/>
        </w:rPr>
        <w:t>”</w:t>
      </w:r>
      <w:r>
        <w:rPr>
          <w:rFonts w:hint="eastAsia" w:ascii="方正仿宋_GBK" w:hAnsi="方正仿宋_GBK" w:eastAsia="方正仿宋_GBK" w:cs="方正仿宋_GBK"/>
          <w:b w:val="0"/>
          <w:bCs w:val="0"/>
          <w:snapToGrid/>
          <w:color w:val="auto"/>
          <w:spacing w:val="0"/>
          <w:kern w:val="2"/>
          <w:sz w:val="32"/>
          <w:szCs w:val="32"/>
          <w:highlight w:val="none"/>
          <w:lang w:val="en-US" w:eastAsia="en-US" w:bidi="ar-SA"/>
          <w14:ligatures w14:val="standardContextual"/>
        </w:rPr>
        <w:t>准确填报有关信息</w:t>
      </w:r>
      <w:r>
        <w:rPr>
          <w:rFonts w:hint="eastAsia" w:ascii="方正仿宋_GBK" w:hAnsi="方正仿宋_GBK" w:eastAsia="方正仿宋_GBK" w:cs="方正仿宋_GBK"/>
          <w:b w:val="0"/>
          <w:bCs w:val="0"/>
          <w:color w:val="auto"/>
          <w:sz w:val="32"/>
          <w:szCs w:val="32"/>
          <w:highlight w:val="none"/>
          <w:lang w:val="en-US" w:eastAsia="en-US"/>
        </w:rPr>
        <w:t>。</w:t>
      </w:r>
    </w:p>
    <w:p w14:paraId="4F0DCD46">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填报网址：</w:t>
      </w:r>
    </w:p>
    <w:p w14:paraId="50BFF2CB">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fldChar w:fldCharType="begin"/>
      </w:r>
      <w:r>
        <w:rPr>
          <w:rFonts w:hint="eastAsia" w:ascii="方正仿宋_GBK" w:hAnsi="方正仿宋_GBK" w:eastAsia="方正仿宋_GBK" w:cs="方正仿宋_GBK"/>
          <w:b w:val="0"/>
          <w:bCs w:val="0"/>
          <w:color w:val="auto"/>
          <w:sz w:val="32"/>
          <w:szCs w:val="32"/>
          <w:highlight w:val="none"/>
          <w:lang w:val="en-US" w:eastAsia="zh-CN"/>
        </w:rPr>
        <w:instrText xml:space="preserve"> HYPERLINK "http://36.110.12.227:15000/index/#/user/login?redirect=%2F" </w:instrText>
      </w:r>
      <w:r>
        <w:rPr>
          <w:rFonts w:hint="eastAsia" w:ascii="方正仿宋_GBK" w:hAnsi="方正仿宋_GBK" w:eastAsia="方正仿宋_GBK" w:cs="方正仿宋_GBK"/>
          <w:b w:val="0"/>
          <w:bCs w:val="0"/>
          <w:color w:val="auto"/>
          <w:sz w:val="32"/>
          <w:szCs w:val="32"/>
          <w:highlight w:val="none"/>
          <w:lang w:val="en-US" w:eastAsia="zh-CN"/>
        </w:rPr>
        <w:fldChar w:fldCharType="separate"/>
      </w:r>
      <w:r>
        <w:rPr>
          <w:rStyle w:val="12"/>
          <w:rFonts w:hint="eastAsia" w:ascii="方正仿宋_GBK" w:hAnsi="方正仿宋_GBK" w:eastAsia="方正仿宋_GBK" w:cs="方正仿宋_GBK"/>
          <w:b w:val="0"/>
          <w:bCs w:val="0"/>
          <w:color w:val="auto"/>
          <w:kern w:val="2"/>
          <w:sz w:val="32"/>
          <w:szCs w:val="32"/>
          <w:highlight w:val="none"/>
          <w:lang w:val="en-US" w:eastAsia="zh-CN" w:bidi="ar-SA"/>
        </w:rPr>
        <w:t>http://36.110.12.227:15000/index/#/user/login?redirect=%2F</w:t>
      </w:r>
      <w:r>
        <w:rPr>
          <w:rFonts w:hint="eastAsia" w:ascii="方正仿宋_GBK" w:hAnsi="方正仿宋_GBK" w:eastAsia="方正仿宋_GBK" w:cs="方正仿宋_GBK"/>
          <w:b w:val="0"/>
          <w:bCs w:val="0"/>
          <w:color w:val="auto"/>
          <w:sz w:val="32"/>
          <w:szCs w:val="32"/>
          <w:highlight w:val="none"/>
          <w:lang w:val="en-US" w:eastAsia="zh-CN"/>
        </w:rPr>
        <w:fldChar w:fldCharType="end"/>
      </w:r>
    </w:p>
    <w:p w14:paraId="5D985471">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rPr>
        <w:drawing>
          <wp:inline distT="0" distB="0" distL="114300" distR="114300">
            <wp:extent cx="2354580" cy="2698115"/>
            <wp:effectExtent l="12700" t="12700" r="13970" b="1333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8"/>
                    <a:stretch>
                      <a:fillRect/>
                    </a:stretch>
                  </pic:blipFill>
                  <pic:spPr>
                    <a:xfrm>
                      <a:off x="0" y="0"/>
                      <a:ext cx="2354580" cy="2698115"/>
                    </a:xfrm>
                    <a:prstGeom prst="rect">
                      <a:avLst/>
                    </a:prstGeom>
                    <a:noFill/>
                    <a:ln w="12700">
                      <a:solidFill>
                        <a:schemeClr val="tx1"/>
                      </a:solidFill>
                    </a:ln>
                  </pic:spPr>
                </pic:pic>
              </a:graphicData>
            </a:graphic>
          </wp:inline>
        </w:drawing>
      </w:r>
    </w:p>
    <w:p w14:paraId="4106D685">
      <w:pPr>
        <w:spacing w:line="60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（二）达标标准</w:t>
      </w:r>
    </w:p>
    <w:p w14:paraId="2AE79F98">
      <w:pPr>
        <w:spacing w:line="60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bidi="ar-SA"/>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rPr>
        <w:t>产废</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rPr>
        <w:t>单位按规定建立一般工业固体废物管理台账，且</w:t>
      </w:r>
      <w:r>
        <w:rPr>
          <w:rFonts w:hint="eastAsia" w:ascii="方正仿宋_GBK" w:hAnsi="方正仿宋_GBK" w:eastAsia="方正仿宋_GBK" w:cs="方正仿宋_GBK"/>
          <w:b w:val="0"/>
          <w:bCs w:val="0"/>
          <w:color w:val="auto"/>
          <w:sz w:val="32"/>
          <w:szCs w:val="32"/>
          <w:highlight w:val="none"/>
          <w:lang w:val="en-US" w:eastAsia="zh-CN"/>
        </w:rPr>
        <w:t>管理台账</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rPr>
        <w:t>符合保存年限要求。产生尾矿的单位通过</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全国固体废物和化学品管理信息系统—尾矿环境管理信息子系统</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”准确填报有关信息</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rPr>
        <w:t>。</w:t>
      </w:r>
    </w:p>
    <w:p w14:paraId="05D92494">
      <w:pPr>
        <w:spacing w:line="60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en-US"/>
        </w:rPr>
      </w:pPr>
      <w:r>
        <w:rPr>
          <w:rFonts w:hint="eastAsia" w:ascii="方正楷体_GBK" w:hAnsi="方正楷体_GBK" w:eastAsia="方正楷体_GBK" w:cs="方正楷体_GBK"/>
          <w:b w:val="0"/>
          <w:bCs w:val="0"/>
          <w:color w:val="auto"/>
          <w:sz w:val="32"/>
          <w:szCs w:val="32"/>
          <w:highlight w:val="none"/>
          <w:lang w:val="en-US" w:eastAsia="en-US"/>
        </w:rPr>
        <w:t>（三）</w:t>
      </w:r>
      <w:r>
        <w:rPr>
          <w:rFonts w:hint="eastAsia" w:ascii="方正楷体_GBK" w:hAnsi="方正楷体_GBK" w:eastAsia="方正楷体_GBK" w:cs="方正楷体_GBK"/>
          <w:b w:val="0"/>
          <w:bCs w:val="0"/>
          <w:color w:val="auto"/>
          <w:sz w:val="32"/>
          <w:szCs w:val="32"/>
          <w:highlight w:val="none"/>
          <w:lang w:val="en-US" w:eastAsia="zh-CN"/>
        </w:rPr>
        <w:t>注意事项</w:t>
      </w:r>
    </w:p>
    <w:p w14:paraId="076B925D">
      <w:pPr>
        <w:spacing w:line="600" w:lineRule="exact"/>
        <w:ind w:firstLine="640" w:firstLineChars="200"/>
        <w:jc w:val="both"/>
        <w:rPr>
          <w:rFonts w:hint="eastAsia" w:ascii="方正仿宋_GBK" w:hAnsi="方正仿宋_GBK" w:eastAsia="方正仿宋_GBK" w:cs="方正仿宋_GBK"/>
          <w:b w:val="0"/>
          <w:bCs w:val="0"/>
          <w:snapToGrid/>
          <w:color w:val="auto"/>
          <w:spacing w:val="0"/>
          <w:sz w:val="32"/>
          <w:szCs w:val="32"/>
          <w:highlight w:val="none"/>
          <w:lang w:val="en-US" w:eastAsia="zh-CN" w:bidi="ar-SA"/>
        </w:rPr>
      </w:pPr>
      <w:r>
        <w:rPr>
          <w:rFonts w:hint="eastAsia" w:ascii="方正仿宋_GBK" w:hAnsi="方正仿宋_GBK" w:eastAsia="方正仿宋_GBK" w:cs="方正仿宋_GBK"/>
          <w:b w:val="0"/>
          <w:bCs w:val="0"/>
          <w:snapToGrid/>
          <w:color w:val="auto"/>
          <w:spacing w:val="0"/>
          <w:sz w:val="32"/>
          <w:szCs w:val="32"/>
          <w:highlight w:val="none"/>
          <w:lang w:val="en-US" w:eastAsia="zh-CN" w:bidi="ar-SA"/>
        </w:rPr>
        <w:t>（1）电子台账包括：信息系统（巴渝治废等）导出文件、表格或文档三种类型；</w:t>
      </w:r>
      <w:r>
        <w:rPr>
          <w:rFonts w:hint="eastAsia" w:ascii="方正仿宋_GBK" w:hAnsi="方正仿宋_GBK" w:eastAsia="方正仿宋_GBK" w:cs="方正仿宋_GBK"/>
          <w:b w:val="0"/>
          <w:bCs w:val="0"/>
          <w:snapToGrid/>
          <w:color w:val="auto"/>
          <w:spacing w:val="0"/>
          <w:sz w:val="32"/>
          <w:szCs w:val="32"/>
          <w:highlight w:val="none"/>
          <w:lang w:eastAsia="en-US" w:bidi="ar-SA"/>
        </w:rPr>
        <w:t>鼓励优先建立电子台账</w:t>
      </w:r>
      <w:r>
        <w:rPr>
          <w:rFonts w:hint="eastAsia" w:ascii="方正仿宋_GBK" w:hAnsi="方正仿宋_GBK" w:eastAsia="方正仿宋_GBK" w:cs="方正仿宋_GBK"/>
          <w:b w:val="0"/>
          <w:bCs w:val="0"/>
          <w:snapToGrid/>
          <w:color w:val="auto"/>
          <w:spacing w:val="0"/>
          <w:sz w:val="32"/>
          <w:szCs w:val="32"/>
          <w:highlight w:val="none"/>
          <w:lang w:val="en-US" w:eastAsia="zh-CN" w:bidi="ar-SA"/>
        </w:rPr>
        <w:t>。</w:t>
      </w:r>
      <w:r>
        <w:rPr>
          <w:rFonts w:hint="eastAsia" w:ascii="方正仿宋_GBK" w:hAnsi="方正仿宋_GBK" w:eastAsia="方正仿宋_GBK" w:cs="方正仿宋_GBK"/>
          <w:b w:val="0"/>
          <w:bCs w:val="0"/>
          <w:snapToGrid/>
          <w:color w:val="auto"/>
          <w:spacing w:val="0"/>
          <w:sz w:val="32"/>
          <w:szCs w:val="32"/>
          <w:highlight w:val="none"/>
          <w:lang w:eastAsia="zh-CN" w:bidi="ar-SA"/>
        </w:rPr>
        <w:t>建立电子台</w:t>
      </w:r>
      <w:r>
        <w:rPr>
          <w:rFonts w:hint="eastAsia" w:ascii="方正仿宋_GBK" w:hAnsi="方正仿宋_GBK" w:eastAsia="方正仿宋_GBK" w:cs="方正仿宋_GBK"/>
          <w:b w:val="0"/>
          <w:bCs w:val="0"/>
          <w:snapToGrid/>
          <w:color w:val="auto"/>
          <w:spacing w:val="0"/>
          <w:sz w:val="32"/>
          <w:szCs w:val="32"/>
          <w:highlight w:val="none"/>
          <w:lang w:eastAsia="en-US" w:bidi="ar-SA"/>
        </w:rPr>
        <w:t>账</w:t>
      </w:r>
      <w:r>
        <w:rPr>
          <w:rFonts w:hint="eastAsia" w:ascii="方正仿宋_GBK" w:hAnsi="方正仿宋_GBK" w:eastAsia="方正仿宋_GBK" w:cs="方正仿宋_GBK"/>
          <w:b w:val="0"/>
          <w:bCs w:val="0"/>
          <w:snapToGrid/>
          <w:color w:val="auto"/>
          <w:spacing w:val="0"/>
          <w:sz w:val="32"/>
          <w:szCs w:val="32"/>
          <w:highlight w:val="none"/>
          <w:lang w:val="en-US" w:eastAsia="zh-CN" w:bidi="ar-SA"/>
        </w:rPr>
        <w:t>的</w:t>
      </w:r>
      <w:r>
        <w:rPr>
          <w:rFonts w:hint="eastAsia" w:ascii="方正仿宋_GBK" w:hAnsi="方正仿宋_GBK" w:eastAsia="方正仿宋_GBK" w:cs="方正仿宋_GBK"/>
          <w:b w:val="0"/>
          <w:bCs w:val="0"/>
          <w:snapToGrid/>
          <w:color w:val="auto"/>
          <w:spacing w:val="0"/>
          <w:sz w:val="32"/>
          <w:szCs w:val="32"/>
          <w:highlight w:val="none"/>
          <w:lang w:val="en-US" w:eastAsia="en-US" w:bidi="ar-SA"/>
        </w:rPr>
        <w:t>产废单位</w:t>
      </w:r>
      <w:r>
        <w:rPr>
          <w:rFonts w:hint="eastAsia" w:ascii="方正仿宋_GBK" w:hAnsi="方正仿宋_GBK" w:eastAsia="方正仿宋_GBK" w:cs="方正仿宋_GBK"/>
          <w:b w:val="0"/>
          <w:bCs w:val="0"/>
          <w:snapToGrid/>
          <w:color w:val="auto"/>
          <w:spacing w:val="0"/>
          <w:sz w:val="32"/>
          <w:szCs w:val="32"/>
          <w:highlight w:val="none"/>
          <w:lang w:eastAsia="zh-CN" w:bidi="ar-SA"/>
        </w:rPr>
        <w:t>，</w:t>
      </w:r>
      <w:r>
        <w:rPr>
          <w:rFonts w:hint="eastAsia" w:ascii="方正仿宋_GBK" w:hAnsi="方正仿宋_GBK" w:eastAsia="方正仿宋_GBK" w:cs="方正仿宋_GBK"/>
          <w:b w:val="0"/>
          <w:bCs w:val="0"/>
          <w:snapToGrid/>
          <w:color w:val="auto"/>
          <w:spacing w:val="0"/>
          <w:sz w:val="32"/>
          <w:szCs w:val="32"/>
          <w:highlight w:val="none"/>
          <w:lang w:val="en-US" w:eastAsia="zh-CN" w:bidi="ar-SA"/>
        </w:rPr>
        <w:t>可根据实际情况自行决定是否</w:t>
      </w:r>
      <w:r>
        <w:rPr>
          <w:rFonts w:hint="eastAsia" w:ascii="方正仿宋_GBK" w:hAnsi="方正仿宋_GBK" w:eastAsia="方正仿宋_GBK" w:cs="方正仿宋_GBK"/>
          <w:b w:val="0"/>
          <w:bCs w:val="0"/>
          <w:snapToGrid/>
          <w:color w:val="auto"/>
          <w:spacing w:val="0"/>
          <w:sz w:val="32"/>
          <w:szCs w:val="32"/>
          <w:highlight w:val="none"/>
          <w:lang w:eastAsia="en-US" w:bidi="ar-SA"/>
        </w:rPr>
        <w:t>再记录纸质台账。</w:t>
      </w:r>
    </w:p>
    <w:p w14:paraId="65139261">
      <w:pPr>
        <w:spacing w:line="600" w:lineRule="exact"/>
        <w:ind w:firstLine="640" w:firstLineChars="200"/>
        <w:jc w:val="both"/>
        <w:rPr>
          <w:rFonts w:hint="eastAsia" w:ascii="方正仿宋_GBK" w:hAnsi="方正仿宋_GBK" w:eastAsia="方正仿宋_GBK" w:cs="方正仿宋_GBK"/>
          <w:b w:val="0"/>
          <w:bCs w:val="0"/>
          <w:snapToGrid/>
          <w:color w:val="auto"/>
          <w:spacing w:val="0"/>
          <w:sz w:val="32"/>
          <w:szCs w:val="32"/>
          <w:highlight w:val="none"/>
          <w:lang w:val="en-US" w:eastAsia="zh-CN" w:bidi="ar-SA"/>
        </w:rPr>
      </w:pPr>
      <w:r>
        <w:rPr>
          <w:rFonts w:hint="eastAsia" w:ascii="方正仿宋_GBK" w:hAnsi="方正仿宋_GBK" w:eastAsia="方正仿宋_GBK" w:cs="方正仿宋_GBK"/>
          <w:b w:val="0"/>
          <w:bCs w:val="0"/>
          <w:snapToGrid/>
          <w:color w:val="auto"/>
          <w:spacing w:val="0"/>
          <w:sz w:val="32"/>
          <w:szCs w:val="32"/>
          <w:highlight w:val="none"/>
          <w:lang w:val="en-US" w:eastAsia="zh-CN" w:bidi="ar-SA"/>
        </w:rPr>
        <w:t>（2）除信息系统填报数据以外，企业还应至少具有另外一种管理台账保存方式，如</w:t>
      </w:r>
      <w:r>
        <w:rPr>
          <w:rFonts w:hint="eastAsia" w:ascii="方正仿宋_GBK" w:hAnsi="方正仿宋_GBK" w:eastAsia="方正仿宋_GBK" w:cs="方正仿宋_GBK"/>
          <w:b w:val="0"/>
          <w:bCs w:val="0"/>
          <w:snapToGrid/>
          <w:color w:val="auto"/>
          <w:spacing w:val="0"/>
          <w:sz w:val="32"/>
          <w:szCs w:val="32"/>
          <w:highlight w:val="none"/>
          <w:u w:val="none"/>
          <w:lang w:val="en-US" w:eastAsia="zh-CN" w:bidi="ar-SA"/>
        </w:rPr>
        <w:t>信息系统导出文件、表格、文档或纸质台账</w:t>
      </w:r>
      <w:r>
        <w:rPr>
          <w:rFonts w:hint="eastAsia" w:ascii="方正仿宋_GBK" w:hAnsi="方正仿宋_GBK" w:eastAsia="方正仿宋_GBK" w:cs="方正仿宋_GBK"/>
          <w:b w:val="0"/>
          <w:bCs w:val="0"/>
          <w:snapToGrid/>
          <w:color w:val="auto"/>
          <w:spacing w:val="0"/>
          <w:sz w:val="32"/>
          <w:szCs w:val="32"/>
          <w:highlight w:val="none"/>
          <w:lang w:val="en-US" w:eastAsia="zh-CN" w:bidi="ar-SA"/>
        </w:rPr>
        <w:t>，且这些方式符合保存时限要求。</w:t>
      </w:r>
    </w:p>
    <w:p w14:paraId="5D9D4830">
      <w:pPr>
        <w:spacing w:line="60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（四）法律依据</w:t>
      </w:r>
    </w:p>
    <w:p w14:paraId="1E156E7B">
      <w:pPr>
        <w:spacing w:line="60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w:t>
      </w:r>
      <w:r>
        <w:rPr>
          <w:rFonts w:hint="eastAsia" w:ascii="方正仿宋_GBK" w:hAnsi="方正仿宋_GBK" w:eastAsia="方正仿宋_GBK" w:cs="方正仿宋_GBK"/>
          <w:b w:val="0"/>
          <w:bCs w:val="0"/>
          <w:color w:val="auto"/>
          <w:sz w:val="32"/>
          <w:szCs w:val="32"/>
          <w:highlight w:val="none"/>
          <w:lang w:val="en-US" w:eastAsia="en-US"/>
        </w:rPr>
        <w:t>《固废法》第三十六条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r>
        <w:rPr>
          <w:rFonts w:hint="eastAsia" w:ascii="方正仿宋_GBK" w:hAnsi="方正仿宋_GBK" w:eastAsia="方正仿宋_GBK" w:cs="方正仿宋_GBK"/>
          <w:b w:val="0"/>
          <w:bCs w:val="0"/>
          <w:color w:val="auto"/>
          <w:sz w:val="32"/>
          <w:szCs w:val="32"/>
          <w:highlight w:val="none"/>
          <w:lang w:val="en-US" w:eastAsia="zh-CN"/>
        </w:rPr>
        <w:t>。</w:t>
      </w:r>
    </w:p>
    <w:p w14:paraId="770AB7CF">
      <w:pPr>
        <w:spacing w:line="60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z w:val="32"/>
          <w:szCs w:val="32"/>
          <w:highlight w:val="none"/>
          <w:lang w:val="en-US" w:eastAsia="en-US"/>
        </w:rPr>
        <w:t>《尾矿污染环境防治管理办法》（生态环境部令2022年第26号）</w:t>
      </w:r>
      <w:r>
        <w:rPr>
          <w:rFonts w:hint="eastAsia" w:ascii="方正仿宋_GBK" w:hAnsi="方正仿宋_GBK" w:eastAsia="方正仿宋_GBK" w:cs="方正仿宋_GBK"/>
          <w:b w:val="0"/>
          <w:bCs w:val="0"/>
          <w:color w:val="auto"/>
          <w:sz w:val="32"/>
          <w:szCs w:val="32"/>
          <w:highlight w:val="none"/>
          <w:lang w:val="en-US" w:eastAsia="zh-CN"/>
        </w:rPr>
        <w:t>。</w:t>
      </w:r>
    </w:p>
    <w:p w14:paraId="0CB68905">
      <w:pPr>
        <w:spacing w:line="60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（3）</w:t>
      </w:r>
      <w:r>
        <w:rPr>
          <w:rFonts w:hint="eastAsia" w:ascii="方正仿宋_GBK" w:hAnsi="方正仿宋_GBK" w:eastAsia="方正仿宋_GBK" w:cs="方正仿宋_GBK"/>
          <w:b w:val="0"/>
          <w:bCs w:val="0"/>
          <w:color w:val="auto"/>
          <w:sz w:val="32"/>
          <w:szCs w:val="32"/>
          <w:highlight w:val="none"/>
          <w:lang w:val="en-US" w:eastAsia="en-US"/>
        </w:rPr>
        <w:t>《一般工业固体废物管理台账制定指南（试行）》（生态环境部公告2021年第82号）</w:t>
      </w:r>
      <w:r>
        <w:rPr>
          <w:rFonts w:hint="eastAsia" w:ascii="方正仿宋_GBK" w:hAnsi="方正仿宋_GBK" w:eastAsia="方正仿宋_GBK" w:cs="方正仿宋_GBK"/>
          <w:b w:val="0"/>
          <w:bCs w:val="0"/>
          <w:color w:val="auto"/>
          <w:sz w:val="32"/>
          <w:szCs w:val="32"/>
          <w:highlight w:val="none"/>
          <w:lang w:val="en-US" w:eastAsia="zh-CN"/>
        </w:rPr>
        <w:t>。</w:t>
      </w:r>
    </w:p>
    <w:p w14:paraId="08AEA7D0">
      <w:pPr>
        <w:spacing w:line="600" w:lineRule="atLeast"/>
        <w:ind w:firstLine="640" w:firstLineChars="200"/>
        <w:jc w:val="left"/>
        <w:outlineLvl w:val="9"/>
        <w:rPr>
          <w:rFonts w:hint="eastAsia" w:ascii="方正黑体_GBK" w:hAnsi="方正黑体_GBK" w:eastAsia="方正黑体_GBK" w:cs="方正黑体_GBK"/>
          <w:b w:val="0"/>
          <w:bCs w:val="0"/>
          <w:color w:val="auto"/>
          <w:kern w:val="0"/>
          <w:sz w:val="32"/>
          <w:szCs w:val="32"/>
          <w:highlight w:val="none"/>
          <w:shd w:val="clear" w:color="auto" w:fill="FFFFFF"/>
          <w:lang w:val="en-US" w:eastAsia="zh-CN"/>
        </w:rPr>
      </w:pPr>
      <w:r>
        <w:rPr>
          <w:rFonts w:hint="eastAsia" w:ascii="方正黑体_GBK" w:hAnsi="方正黑体_GBK" w:eastAsia="方正黑体_GBK" w:cs="方正黑体_GBK"/>
          <w:b w:val="0"/>
          <w:bCs w:val="0"/>
          <w:color w:val="auto"/>
          <w:kern w:val="0"/>
          <w:sz w:val="32"/>
          <w:szCs w:val="32"/>
          <w:highlight w:val="none"/>
          <w:shd w:val="clear" w:color="auto" w:fill="FFFFFF"/>
          <w:lang w:val="en-US" w:eastAsia="zh-CN"/>
        </w:rPr>
        <w:t>五、贮存管理</w:t>
      </w:r>
    </w:p>
    <w:p w14:paraId="221E7F36">
      <w:pPr>
        <w:spacing w:line="600" w:lineRule="atLeas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（一）评估要点</w:t>
      </w:r>
    </w:p>
    <w:p w14:paraId="4F4740F3">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bidi="ar-SA"/>
          <w14:ligatures w14:val="standardContextual"/>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（1）</w:t>
      </w:r>
      <w:r>
        <w:rPr>
          <w:rFonts w:hint="eastAsia" w:ascii="方正仿宋_GBK" w:hAnsi="方正仿宋_GBK" w:eastAsia="方正仿宋_GBK" w:cs="方正仿宋_GBK"/>
          <w:b w:val="0"/>
          <w:bCs w:val="0"/>
          <w:color w:val="auto"/>
          <w:sz w:val="32"/>
          <w:szCs w:val="32"/>
          <w:highlight w:val="none"/>
          <w:lang w:val="en-US" w:eastAsia="zh-CN" w:bidi="ar-SA"/>
          <w14:ligatures w14:val="standardContextual"/>
        </w:rPr>
        <w:t>建设</w:t>
      </w:r>
      <w:r>
        <w:rPr>
          <w:rFonts w:hint="eastAsia" w:ascii="方正仿宋_GBK" w:hAnsi="方正仿宋_GBK" w:eastAsia="方正仿宋_GBK" w:cs="方正仿宋_GBK"/>
          <w:b w:val="0"/>
          <w:bCs w:val="0"/>
          <w:color w:val="auto"/>
          <w:sz w:val="32"/>
          <w:szCs w:val="32"/>
          <w:highlight w:val="none"/>
          <w:lang w:bidi="ar-SA"/>
          <w14:ligatures w14:val="standardContextual"/>
        </w:rPr>
        <w:t>一般工业固体废物贮存</w:t>
      </w:r>
      <w:r>
        <w:rPr>
          <w:rFonts w:hint="eastAsia" w:ascii="方正仿宋_GBK" w:hAnsi="方正仿宋_GBK" w:eastAsia="方正仿宋_GBK" w:cs="方正仿宋_GBK"/>
          <w:b w:val="0"/>
          <w:bCs w:val="0"/>
          <w:color w:val="auto"/>
          <w:sz w:val="32"/>
          <w:szCs w:val="32"/>
          <w:highlight w:val="none"/>
          <w:lang w:val="en-US" w:eastAsia="zh-CN" w:bidi="ar-SA"/>
          <w14:ligatures w14:val="standardContextual"/>
        </w:rPr>
        <w:t>场和填埋场的</w:t>
      </w:r>
      <w:r>
        <w:rPr>
          <w:rFonts w:hint="eastAsia" w:ascii="方正仿宋_GBK" w:hAnsi="方正仿宋_GBK" w:eastAsia="方正仿宋_GBK" w:cs="方正仿宋_GBK"/>
          <w:b w:val="0"/>
          <w:bCs w:val="0"/>
          <w:color w:val="auto"/>
          <w:sz w:val="32"/>
          <w:szCs w:val="32"/>
          <w:highlight w:val="none"/>
          <w:lang w:bidi="ar-SA"/>
          <w14:ligatures w14:val="standardContextual"/>
        </w:rPr>
        <w:t>单位</w:t>
      </w:r>
      <w:r>
        <w:rPr>
          <w:rFonts w:hint="eastAsia" w:ascii="方正仿宋_GBK" w:hAnsi="方正仿宋_GBK" w:eastAsia="方正仿宋_GBK" w:cs="方正仿宋_GBK"/>
          <w:b w:val="0"/>
          <w:bCs w:val="0"/>
          <w:color w:val="auto"/>
          <w:sz w:val="32"/>
          <w:szCs w:val="32"/>
          <w:highlight w:val="none"/>
          <w:lang w:eastAsia="zh-CN" w:bidi="ar-SA"/>
          <w14:ligatures w14:val="standardContextual"/>
        </w:rPr>
        <w:t>，</w:t>
      </w:r>
      <w:r>
        <w:rPr>
          <w:rFonts w:hint="eastAsia" w:ascii="方正仿宋_GBK" w:hAnsi="方正仿宋_GBK" w:eastAsia="方正仿宋_GBK" w:cs="方正仿宋_GBK"/>
          <w:b w:val="0"/>
          <w:bCs w:val="0"/>
          <w:color w:val="auto"/>
          <w:sz w:val="32"/>
          <w:szCs w:val="32"/>
          <w:highlight w:val="none"/>
          <w:lang w:bidi="ar-SA"/>
          <w14:ligatures w14:val="standardContextual"/>
        </w:rPr>
        <w:t>应当执行GB</w:t>
      </w:r>
      <w:r>
        <w:rPr>
          <w:rFonts w:hint="eastAsia" w:ascii="方正仿宋_GBK" w:hAnsi="方正仿宋_GBK" w:eastAsia="方正仿宋_GBK" w:cs="方正仿宋_GBK"/>
          <w:b w:val="0"/>
          <w:bCs w:val="0"/>
          <w:color w:val="auto"/>
          <w:sz w:val="32"/>
          <w:szCs w:val="32"/>
          <w:highlight w:val="none"/>
          <w:lang w:val="en-US" w:eastAsia="zh-CN" w:bidi="ar-SA"/>
          <w14:ligatures w14:val="standardContextual"/>
        </w:rPr>
        <w:t xml:space="preserve"> </w:t>
      </w:r>
      <w:r>
        <w:rPr>
          <w:rFonts w:hint="eastAsia" w:ascii="方正仿宋_GBK" w:hAnsi="方正仿宋_GBK" w:eastAsia="方正仿宋_GBK" w:cs="方正仿宋_GBK"/>
          <w:b w:val="0"/>
          <w:bCs w:val="0"/>
          <w:color w:val="auto"/>
          <w:sz w:val="32"/>
          <w:szCs w:val="32"/>
          <w:highlight w:val="none"/>
          <w:lang w:bidi="ar-SA"/>
          <w14:ligatures w14:val="standardContextual"/>
        </w:rPr>
        <w:t>18599等有关标准规范要求。</w:t>
      </w:r>
    </w:p>
    <w:p w14:paraId="16FA12DF">
      <w:pPr>
        <w:spacing w:line="600" w:lineRule="exact"/>
        <w:ind w:firstLine="640" w:firstLineChars="200"/>
        <w:jc w:val="both"/>
        <w:rPr>
          <w:rFonts w:hint="eastAsia" w:ascii="方正仿宋_GBK" w:hAnsi="方正仿宋_GBK" w:eastAsia="方正仿宋_GBK" w:cs="方正仿宋_GBK"/>
          <w:b w:val="0"/>
          <w:bCs w:val="0"/>
          <w:color w:val="auto"/>
          <w:sz w:val="32"/>
          <w:szCs w:val="32"/>
          <w:highlight w:val="none"/>
          <w:lang w:bidi="ar-SA"/>
          <w14:ligatures w14:val="standardContextual"/>
        </w:rPr>
      </w:pPr>
      <w:r>
        <w:rPr>
          <w:rFonts w:hint="eastAsia" w:ascii="方正仿宋_GBK" w:hAnsi="方正仿宋_GBK" w:eastAsia="方正仿宋_GBK" w:cs="方正仿宋_GBK"/>
          <w:b w:val="0"/>
          <w:bCs w:val="0"/>
          <w:color w:val="auto"/>
          <w:sz w:val="32"/>
          <w:szCs w:val="32"/>
          <w:highlight w:val="none"/>
          <w:lang w:val="en-US" w:eastAsia="zh-CN" w:bidi="ar-SA"/>
          <w14:ligatures w14:val="standardContextual"/>
        </w:rPr>
        <w:t>（2）</w:t>
      </w:r>
      <w:r>
        <w:rPr>
          <w:rFonts w:hint="eastAsia" w:ascii="方正仿宋_GBK" w:hAnsi="方正仿宋_GBK" w:eastAsia="方正仿宋_GBK" w:cs="方正仿宋_GBK"/>
          <w:b w:val="0"/>
          <w:bCs w:val="0"/>
          <w:color w:val="auto"/>
          <w:sz w:val="32"/>
          <w:szCs w:val="32"/>
          <w:highlight w:val="none"/>
          <w:lang w:bidi="ar-SA"/>
          <w14:ligatures w14:val="standardContextual"/>
        </w:rPr>
        <w:t>采用库房、包装工具（罐、桶、包装袋等）贮存一般工业固体废物，其贮存过程应当设置一般工业固体废物贮存库，满足防扬散、防流失、防渗漏、防雨淋等环境保护要求，不应露天堆放一般工业固体废物。</w:t>
      </w:r>
    </w:p>
    <w:p w14:paraId="549F7868">
      <w:pPr>
        <w:spacing w:line="600" w:lineRule="exact"/>
        <w:ind w:firstLine="640" w:firstLineChars="200"/>
        <w:jc w:val="both"/>
        <w:rPr>
          <w:rFonts w:hint="eastAsia" w:ascii="方正仿宋_GBK" w:hAnsi="方正仿宋_GBK" w:eastAsia="方正仿宋_GBK" w:cs="方正仿宋_GBK"/>
          <w:b w:val="0"/>
          <w:bCs w:val="0"/>
          <w:snapToGrid/>
          <w:color w:val="auto"/>
          <w:spacing w:val="0"/>
          <w:kern w:val="2"/>
          <w:sz w:val="32"/>
          <w:szCs w:val="32"/>
          <w:highlight w:val="none"/>
          <w:lang w:val="en-US" w:eastAsia="zh-CN" w:bidi="ar-SA"/>
          <w14:ligatures w14:val="standardContextual"/>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（3）</w:t>
      </w:r>
      <w:r>
        <w:rPr>
          <w:rFonts w:hint="eastAsia" w:ascii="方正仿宋_GBK" w:hAnsi="方正仿宋_GBK" w:eastAsia="方正仿宋_GBK" w:cs="方正仿宋_GBK"/>
          <w:b w:val="0"/>
          <w:bCs w:val="0"/>
          <w:color w:val="auto"/>
          <w:sz w:val="32"/>
          <w:szCs w:val="32"/>
          <w:highlight w:val="none"/>
          <w:lang w:bidi="ar-SA"/>
        </w:rPr>
        <w:t>应在贮存设施显著位置张贴符合《环境保护图形标志-固体废物贮存（处置）场》（GB15562.2）规定的环境保护图形标志，并注明</w:t>
      </w:r>
      <w:r>
        <w:rPr>
          <w:rFonts w:hint="eastAsia" w:ascii="方正仿宋_GBK" w:hAnsi="方正仿宋_GBK" w:eastAsia="方正仿宋_GBK" w:cs="方正仿宋_GBK"/>
          <w:b w:val="0"/>
          <w:bCs w:val="0"/>
          <w:snapToGrid/>
          <w:color w:val="auto"/>
          <w:spacing w:val="0"/>
          <w:kern w:val="2"/>
          <w:sz w:val="32"/>
          <w:szCs w:val="32"/>
          <w:highlight w:val="none"/>
          <w:lang w:val="en-US" w:eastAsia="zh-CN" w:bidi="ar-SA"/>
          <w14:ligatures w14:val="standardContextual"/>
        </w:rPr>
        <w:t>贮存场编号，固废名称、种类和代码等信息。</w:t>
      </w:r>
    </w:p>
    <w:p w14:paraId="007934F0">
      <w:pPr>
        <w:spacing w:line="600" w:lineRule="exact"/>
        <w:ind w:firstLine="640" w:firstLineChars="200"/>
        <w:jc w:val="both"/>
        <w:rPr>
          <w:rFonts w:hint="eastAsia" w:ascii="方正仿宋_GBK" w:hAnsi="方正仿宋_GBK" w:eastAsia="方正仿宋_GBK" w:cs="方正仿宋_GBK"/>
          <w:b w:val="0"/>
          <w:bCs w:val="0"/>
          <w:color w:val="auto"/>
          <w:sz w:val="32"/>
          <w:szCs w:val="32"/>
          <w:highlight w:val="none"/>
          <w:lang w:bidi="ar-SA"/>
          <w14:ligatures w14:val="standardContextual"/>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（4）</w:t>
      </w:r>
      <w:r>
        <w:rPr>
          <w:rFonts w:hint="eastAsia" w:ascii="方正仿宋_GBK" w:hAnsi="方正仿宋_GBK" w:eastAsia="方正仿宋_GBK" w:cs="方正仿宋_GBK"/>
          <w:b w:val="0"/>
          <w:bCs w:val="0"/>
          <w:color w:val="auto"/>
          <w:sz w:val="32"/>
          <w:szCs w:val="32"/>
          <w:highlight w:val="none"/>
          <w:lang w:bidi="ar-SA"/>
          <w14:ligatures w14:val="standardContextual"/>
        </w:rPr>
        <w:t>对照《固体废物分类与代码目录》，将一般工业固体废物分类分区贮存。一般工业固体废物不得混入生活垃圾和危险废物，不得向生活垃圾收集设施中投放工业固体废物。</w:t>
      </w:r>
    </w:p>
    <w:p w14:paraId="20222AAF">
      <w:pPr>
        <w:spacing w:line="60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（5）</w:t>
      </w:r>
      <w:r>
        <w:rPr>
          <w:rFonts w:hint="eastAsia" w:ascii="方正仿宋_GBK" w:hAnsi="方正仿宋_GBK" w:eastAsia="方正仿宋_GBK" w:cs="方正仿宋_GBK"/>
          <w:b w:val="0"/>
          <w:bCs w:val="0"/>
          <w:color w:val="auto"/>
          <w:sz w:val="32"/>
          <w:szCs w:val="32"/>
          <w:highlight w:val="none"/>
          <w:lang w:bidi="ar-SA"/>
        </w:rPr>
        <w:t>尾矿库应按照《尾矿库污染隐患排查治理工作指南（试行）》有关规定，建立尾矿库污染隐患排查治理制度，在每年汛期前至少开展一次全面排查治理。</w:t>
      </w:r>
    </w:p>
    <w:p w14:paraId="6B7B305D">
      <w:pPr>
        <w:keepNext w:val="0"/>
        <w:keepLines w:val="0"/>
        <w:pageBreakBefore w:val="0"/>
        <w:widowControl w:val="0"/>
        <w:suppressLineNumbers w:val="0"/>
        <w:pBdr>
          <w:top w:val="none" w:color="auto" w:sz="0" w:space="0"/>
          <w:left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600" w:lineRule="atLeast"/>
        <w:ind w:right="0"/>
        <w:jc w:val="both"/>
        <w:textAlignment w:val="auto"/>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rPr>
        <w:br w:type="page"/>
      </w:r>
    </w:p>
    <w:tbl>
      <w:tblPr>
        <w:tblStyle w:val="9"/>
        <w:tblW w:w="9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2"/>
        <w:gridCol w:w="3874"/>
      </w:tblGrid>
      <w:tr w14:paraId="2796C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116" w:type="dxa"/>
            <w:gridSpan w:val="2"/>
          </w:tcPr>
          <w:p w14:paraId="4AE8E4B5">
            <w:pPr>
              <w:adjustRightInd/>
              <w:snapToGrid w:val="0"/>
              <w:jc w:val="both"/>
              <w:rPr>
                <w:rFonts w:hint="eastAsia" w:ascii="方正仿宋_GBK" w:hAnsi="方正仿宋_GBK" w:eastAsia="方正仿宋_GBK" w:cs="方正仿宋_GBK"/>
                <w:b w:val="0"/>
                <w:bCs w:val="0"/>
                <w:color w:val="auto"/>
                <w:sz w:val="32"/>
                <w:szCs w:val="32"/>
                <w:highlight w:val="none"/>
                <w14:ligatures w14:val="none"/>
              </w:rPr>
            </w:pPr>
            <w:r>
              <w:rPr>
                <w:rFonts w:hint="eastAsia" w:ascii="方正仿宋_GBK" w:hAnsi="方正仿宋_GBK" w:eastAsia="方正仿宋_GBK" w:cs="方正仿宋_GBK"/>
                <w:b w:val="0"/>
                <w:bCs w:val="0"/>
                <w:color w:val="auto"/>
                <w:sz w:val="32"/>
                <w:szCs w:val="32"/>
                <w:highlight w:val="none"/>
              </w:rPr>
              <w:t>一般工业固体废物贮存场环境保护图形标志样式</w:t>
            </w:r>
          </w:p>
        </w:tc>
      </w:tr>
      <w:tr w14:paraId="646DF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42" w:type="dxa"/>
          </w:tcPr>
          <w:p w14:paraId="551FD8A1">
            <w:pPr>
              <w:adjustRightInd/>
              <w:snapToGrid w:val="0"/>
              <w:jc w:val="both"/>
              <w:rPr>
                <w:rFonts w:hint="eastAsia" w:ascii="方正仿宋_GBK" w:hAnsi="方正仿宋_GBK" w:eastAsia="方正仿宋_GBK" w:cs="方正仿宋_GBK"/>
                <w:b w:val="0"/>
                <w:bCs w:val="0"/>
                <w:color w:val="auto"/>
                <w:sz w:val="32"/>
                <w:szCs w:val="32"/>
                <w:highlight w:val="none"/>
                <w:lang w:eastAsia="zh-CN"/>
              </w:rPr>
            </w:pPr>
            <w:r>
              <w:rPr>
                <w:rFonts w:hint="eastAsia" w:ascii="方正仿宋_GBK" w:hAnsi="方正仿宋_GBK" w:eastAsia="方正仿宋_GBK" w:cs="方正仿宋_GBK"/>
                <w:b w:val="0"/>
                <w:bCs w:val="0"/>
                <w:color w:val="auto"/>
                <w:sz w:val="32"/>
                <w:szCs w:val="32"/>
                <w:highlight w:val="none"/>
              </w:rPr>
              <w:drawing>
                <wp:inline distT="0" distB="0" distL="0" distR="0">
                  <wp:extent cx="3180080" cy="2171065"/>
                  <wp:effectExtent l="12700" t="12700" r="26670" b="26035"/>
                  <wp:docPr id="2079234588" name="图片 1" descr="绿色的标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34588" name="图片 1" descr="绿色的标志&#10;&#10;描述已自动生成"/>
                          <pic:cNvPicPr>
                            <a:picLocks noChangeAspect="1" noChangeArrowheads="1"/>
                          </pic:cNvPicPr>
                        </pic:nvPicPr>
                        <pic:blipFill>
                          <a:blip r:embed="rId19"/>
                          <a:srcRect l="4534" t="18452" r="3850" b="21667"/>
                          <a:stretch>
                            <a:fillRect/>
                          </a:stretch>
                        </pic:blipFill>
                        <pic:spPr>
                          <a:xfrm>
                            <a:off x="0" y="0"/>
                            <a:ext cx="3180080" cy="2171065"/>
                          </a:xfrm>
                          <a:prstGeom prst="rect">
                            <a:avLst/>
                          </a:prstGeom>
                          <a:noFill/>
                          <a:ln w="12700" cmpd="sng">
                            <a:solidFill>
                              <a:schemeClr val="tx1"/>
                            </a:solidFill>
                            <a:prstDash val="solid"/>
                          </a:ln>
                        </pic:spPr>
                      </pic:pic>
                    </a:graphicData>
                  </a:graphic>
                </wp:inline>
              </w:drawing>
            </w:r>
          </w:p>
        </w:tc>
        <w:tc>
          <w:tcPr>
            <w:tcW w:w="3874" w:type="dxa"/>
          </w:tcPr>
          <w:p w14:paraId="4BD4A42C">
            <w:pPr>
              <w:adjustRightInd/>
              <w:snapToGrid w:val="0"/>
              <w:jc w:val="both"/>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14:ligatures w14:val="none"/>
              </w:rPr>
              <w:drawing>
                <wp:inline distT="0" distB="0" distL="0" distR="0">
                  <wp:extent cx="2312670" cy="2169795"/>
                  <wp:effectExtent l="12700" t="12700" r="17780" b="27305"/>
                  <wp:docPr id="161355022" name="图片 1" descr="黑白色的标志&#10;&#10;描述已自动生成"/>
                  <wp:cNvGraphicFramePr/>
                  <a:graphic xmlns:a="http://schemas.openxmlformats.org/drawingml/2006/main">
                    <a:graphicData uri="http://schemas.openxmlformats.org/drawingml/2006/picture">
                      <pic:pic xmlns:pic="http://schemas.openxmlformats.org/drawingml/2006/picture">
                        <pic:nvPicPr>
                          <pic:cNvPr id="161355022" name="图片 1" descr="黑白色的标志&#10;&#10;描述已自动生成"/>
                          <pic:cNvPicPr/>
                        </pic:nvPicPr>
                        <pic:blipFill>
                          <a:blip r:embed="rId20"/>
                          <a:stretch>
                            <a:fillRect/>
                          </a:stretch>
                        </pic:blipFill>
                        <pic:spPr>
                          <a:xfrm>
                            <a:off x="0" y="0"/>
                            <a:ext cx="2345477" cy="2200470"/>
                          </a:xfrm>
                          <a:prstGeom prst="rect">
                            <a:avLst/>
                          </a:prstGeom>
                          <a:noFill/>
                          <a:ln w="12700">
                            <a:solidFill>
                              <a:schemeClr val="tx1"/>
                            </a:solidFill>
                          </a:ln>
                        </pic:spPr>
                      </pic:pic>
                    </a:graphicData>
                  </a:graphic>
                </wp:inline>
              </w:drawing>
            </w:r>
          </w:p>
        </w:tc>
      </w:tr>
      <w:tr w14:paraId="0C059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42" w:type="dxa"/>
            <w:vAlign w:val="center"/>
          </w:tcPr>
          <w:p w14:paraId="1AF2ADBA">
            <w:pPr>
              <w:adjustRightInd/>
              <w:snapToGrid w:val="0"/>
              <w:jc w:val="both"/>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rPr>
              <w:t>提示图形符号</w:t>
            </w:r>
          </w:p>
        </w:tc>
        <w:tc>
          <w:tcPr>
            <w:tcW w:w="3874" w:type="dxa"/>
            <w:vAlign w:val="center"/>
          </w:tcPr>
          <w:p w14:paraId="229A7428">
            <w:pPr>
              <w:adjustRightInd/>
              <w:snapToGrid w:val="0"/>
              <w:jc w:val="both"/>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rPr>
              <w:t>警告图形符号</w:t>
            </w:r>
          </w:p>
        </w:tc>
      </w:tr>
      <w:tr w14:paraId="0208E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9116" w:type="dxa"/>
            <w:gridSpan w:val="2"/>
            <w:vAlign w:val="center"/>
          </w:tcPr>
          <w:p w14:paraId="65650D61">
            <w:pPr>
              <w:adjustRightInd/>
              <w:snapToGrid w:val="0"/>
              <w:spacing w:line="240" w:lineRule="auto"/>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en-US"/>
              </w:rPr>
              <w:t>说明：</w:t>
            </w:r>
          </w:p>
          <w:p w14:paraId="2F58B69A">
            <w:pPr>
              <w:adjustRightInd/>
              <w:snapToGrid w:val="0"/>
              <w:spacing w:line="240" w:lineRule="auto"/>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1.一般工业固体废物贮存场标志牌尺寸颜色</w:t>
            </w:r>
          </w:p>
          <w:p w14:paraId="418EDA25">
            <w:pPr>
              <w:keepNext w:val="0"/>
              <w:keepLines w:val="0"/>
              <w:pageBreakBefore w:val="0"/>
              <w:widowControl w:val="0"/>
              <w:kinsoku/>
              <w:wordWrap/>
              <w:overflowPunct/>
              <w:topLinePunct w:val="0"/>
              <w:autoSpaceDE/>
              <w:autoSpaceDN/>
              <w:bidi w:val="0"/>
              <w:adjustRightInd/>
              <w:snapToGrid w:val="0"/>
              <w:spacing w:line="240" w:lineRule="auto"/>
              <w:ind w:left="530" w:leftChars="100" w:hanging="320" w:hangingChars="100"/>
              <w:jc w:val="both"/>
              <w:textAlignment w:val="auto"/>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en-US"/>
              </w:rPr>
              <w:t>提示图形符号背景颜色：绿色；图形颜色：白色；</w:t>
            </w:r>
          </w:p>
          <w:p w14:paraId="2EDA00CD">
            <w:pPr>
              <w:keepNext w:val="0"/>
              <w:keepLines w:val="0"/>
              <w:pageBreakBefore w:val="0"/>
              <w:widowControl w:val="0"/>
              <w:kinsoku/>
              <w:wordWrap/>
              <w:overflowPunct/>
              <w:topLinePunct w:val="0"/>
              <w:autoSpaceDE/>
              <w:autoSpaceDN/>
              <w:bidi w:val="0"/>
              <w:adjustRightInd/>
              <w:snapToGrid w:val="0"/>
              <w:spacing w:line="240" w:lineRule="auto"/>
              <w:ind w:left="530" w:leftChars="100" w:hanging="320" w:hangingChars="1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警告图形符号背景颜色：黄色；图形颜色：黑色</w:t>
            </w:r>
            <w:r>
              <w:rPr>
                <w:rFonts w:hint="eastAsia" w:ascii="方正仿宋_GBK" w:hAnsi="方正仿宋_GBK" w:eastAsia="方正仿宋_GBK" w:cs="方正仿宋_GBK"/>
                <w:b w:val="0"/>
                <w:bCs w:val="0"/>
                <w:color w:val="auto"/>
                <w:sz w:val="32"/>
                <w:szCs w:val="32"/>
                <w:highlight w:val="none"/>
                <w:lang w:val="en-US" w:eastAsia="zh-CN"/>
              </w:rPr>
              <w:t>；</w:t>
            </w:r>
          </w:p>
          <w:p w14:paraId="082D2E04">
            <w:pPr>
              <w:adjustRightInd/>
              <w:snapToGrid w:val="0"/>
              <w:spacing w:line="240" w:lineRule="auto"/>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2.贮存场编号：建议按照</w:t>
            </w:r>
            <w:r>
              <w:rPr>
                <w:rFonts w:hint="eastAsia" w:ascii="方正仿宋_GBK" w:hAnsi="方正仿宋_GBK" w:eastAsia="方正仿宋_GBK" w:cs="方正仿宋_GBK"/>
                <w:b w:val="0"/>
                <w:bCs w:val="0"/>
                <w:color w:val="auto"/>
                <w:sz w:val="32"/>
                <w:szCs w:val="32"/>
                <w:highlight w:val="none"/>
                <w:lang w:val="en-US" w:eastAsia="zh-CN"/>
              </w:rPr>
              <w:t>TS</w:t>
            </w:r>
            <w:r>
              <w:rPr>
                <w:rFonts w:hint="eastAsia" w:ascii="方正仿宋_GBK" w:hAnsi="方正仿宋_GBK" w:eastAsia="方正仿宋_GBK" w:cs="方正仿宋_GBK"/>
                <w:b w:val="0"/>
                <w:bCs w:val="0"/>
                <w:color w:val="auto"/>
                <w:sz w:val="32"/>
                <w:szCs w:val="32"/>
                <w:highlight w:val="none"/>
                <w:lang w:val="en-US" w:eastAsia="en-US"/>
              </w:rPr>
              <w:t>-0</w:t>
            </w:r>
            <w:r>
              <w:rPr>
                <w:rFonts w:hint="eastAsia" w:ascii="方正仿宋_GBK" w:hAnsi="方正仿宋_GBK" w:eastAsia="方正仿宋_GBK" w:cs="方正仿宋_GBK"/>
                <w:b w:val="0"/>
                <w:bCs w:val="0"/>
                <w:color w:val="auto"/>
                <w:sz w:val="32"/>
                <w:szCs w:val="32"/>
                <w:highlight w:val="none"/>
                <w:lang w:val="en-US" w:eastAsia="zh-CN"/>
              </w:rPr>
              <w:t>0</w:t>
            </w:r>
            <w:r>
              <w:rPr>
                <w:rFonts w:hint="eastAsia" w:ascii="方正仿宋_GBK" w:hAnsi="方正仿宋_GBK" w:eastAsia="方正仿宋_GBK" w:cs="方正仿宋_GBK"/>
                <w:b w:val="0"/>
                <w:bCs w:val="0"/>
                <w:color w:val="auto"/>
                <w:sz w:val="32"/>
                <w:szCs w:val="32"/>
                <w:highlight w:val="none"/>
                <w:lang w:val="en-US" w:eastAsia="en-US"/>
              </w:rPr>
              <w:t>1、02顺序编号</w:t>
            </w:r>
            <w:r>
              <w:rPr>
                <w:rFonts w:hint="eastAsia" w:ascii="方正仿宋_GBK" w:hAnsi="方正仿宋_GBK" w:eastAsia="方正仿宋_GBK" w:cs="方正仿宋_GBK"/>
                <w:b w:val="0"/>
                <w:bCs w:val="0"/>
                <w:color w:val="auto"/>
                <w:sz w:val="32"/>
                <w:szCs w:val="32"/>
                <w:highlight w:val="none"/>
                <w:lang w:val="en-US" w:eastAsia="zh-CN"/>
              </w:rPr>
              <w:t>，与排污许可证保持一致；</w:t>
            </w:r>
          </w:p>
          <w:p w14:paraId="5969096F">
            <w:pPr>
              <w:adjustRightInd/>
              <w:snapToGrid w:val="0"/>
              <w:spacing w:line="240" w:lineRule="auto"/>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3.标志牌材料：建议采用1.5－2</w:t>
            </w:r>
            <w:r>
              <w:rPr>
                <w:rFonts w:hint="eastAsia" w:ascii="方正仿宋_GBK" w:hAnsi="方正仿宋_GBK" w:eastAsia="方正仿宋_GBK" w:cs="方正仿宋_GBK"/>
                <w:b w:val="0"/>
                <w:bCs w:val="0"/>
                <w:color w:val="auto"/>
                <w:sz w:val="32"/>
                <w:szCs w:val="32"/>
                <w:highlight w:val="none"/>
                <w:lang w:val="en-US" w:eastAsia="zh-CN"/>
              </w:rPr>
              <w:t xml:space="preserve"> </w:t>
            </w:r>
            <w:r>
              <w:rPr>
                <w:rFonts w:hint="eastAsia" w:ascii="方正仿宋_GBK" w:hAnsi="方正仿宋_GBK" w:eastAsia="方正仿宋_GBK" w:cs="方正仿宋_GBK"/>
                <w:b w:val="0"/>
                <w:bCs w:val="0"/>
                <w:color w:val="auto"/>
                <w:sz w:val="32"/>
                <w:szCs w:val="32"/>
                <w:highlight w:val="none"/>
                <w:lang w:val="en-US" w:eastAsia="en-US"/>
              </w:rPr>
              <w:t>mm冷轧钢板、表面采用搪瓷或反光贴膜</w:t>
            </w:r>
            <w:r>
              <w:rPr>
                <w:rFonts w:hint="eastAsia" w:ascii="方正仿宋_GBK" w:hAnsi="方正仿宋_GBK" w:eastAsia="方正仿宋_GBK" w:cs="方正仿宋_GBK"/>
                <w:b w:val="0"/>
                <w:bCs w:val="0"/>
                <w:color w:val="auto"/>
                <w:sz w:val="32"/>
                <w:szCs w:val="32"/>
                <w:highlight w:val="none"/>
                <w:lang w:val="en-US" w:eastAsia="zh-CN"/>
              </w:rPr>
              <w:t>；</w:t>
            </w:r>
          </w:p>
          <w:p w14:paraId="4FDDD9C8">
            <w:pPr>
              <w:adjustRightInd/>
              <w:snapToGrid w:val="0"/>
              <w:spacing w:line="240" w:lineRule="auto"/>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4.悬挂位置：建议一般固体废物贮存场外墙壁上</w:t>
            </w:r>
            <w:r>
              <w:rPr>
                <w:rFonts w:hint="eastAsia" w:ascii="方正仿宋_GBK" w:hAnsi="方正仿宋_GBK" w:eastAsia="方正仿宋_GBK" w:cs="方正仿宋_GBK"/>
                <w:b w:val="0"/>
                <w:bCs w:val="0"/>
                <w:color w:val="auto"/>
                <w:sz w:val="32"/>
                <w:szCs w:val="32"/>
                <w:highlight w:val="none"/>
                <w:lang w:val="en-US" w:eastAsia="zh-CN"/>
              </w:rPr>
              <w:t>；</w:t>
            </w:r>
          </w:p>
          <w:p w14:paraId="41715EED">
            <w:pPr>
              <w:adjustRightInd/>
              <w:snapToGrid w:val="0"/>
              <w:spacing w:line="240" w:lineRule="auto"/>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5.提示图形符号：用于向人们提供某种环境信息的符号</w:t>
            </w:r>
            <w:r>
              <w:rPr>
                <w:rFonts w:hint="eastAsia" w:ascii="方正仿宋_GBK" w:hAnsi="方正仿宋_GBK" w:eastAsia="方正仿宋_GBK" w:cs="方正仿宋_GBK"/>
                <w:b w:val="0"/>
                <w:bCs w:val="0"/>
                <w:color w:val="auto"/>
                <w:sz w:val="32"/>
                <w:szCs w:val="32"/>
                <w:highlight w:val="none"/>
                <w:lang w:val="en-US" w:eastAsia="zh-CN"/>
              </w:rPr>
              <w:t>；</w:t>
            </w:r>
          </w:p>
          <w:p w14:paraId="343B5359">
            <w:pPr>
              <w:adjustRightInd/>
              <w:snapToGrid w:val="0"/>
              <w:spacing w:line="240" w:lineRule="auto"/>
              <w:jc w:val="both"/>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lang w:val="en-US" w:eastAsia="en-US"/>
              </w:rPr>
              <w:t>6.警告图形符号：用于提醒人们注意废物贮存、处置过程中可能造成危害的符号。</w:t>
            </w:r>
          </w:p>
        </w:tc>
      </w:tr>
    </w:tbl>
    <w:p w14:paraId="34565046">
      <w:pPr>
        <w:spacing w:line="60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en-US"/>
        </w:rPr>
      </w:pPr>
      <w:r>
        <w:rPr>
          <w:rFonts w:hint="eastAsia" w:ascii="方正楷体_GBK" w:hAnsi="方正楷体_GBK" w:eastAsia="方正楷体_GBK" w:cs="方正楷体_GBK"/>
          <w:b w:val="0"/>
          <w:bCs w:val="0"/>
          <w:color w:val="auto"/>
          <w:sz w:val="32"/>
          <w:szCs w:val="32"/>
          <w:highlight w:val="none"/>
          <w:lang w:val="en-US" w:eastAsia="zh-CN"/>
        </w:rPr>
        <w:t>（二）达标标</w:t>
      </w:r>
      <w:r>
        <w:rPr>
          <w:rFonts w:hint="eastAsia" w:ascii="方正楷体_GBK" w:hAnsi="方正楷体_GBK" w:eastAsia="方正楷体_GBK" w:cs="方正楷体_GBK"/>
          <w:b w:val="0"/>
          <w:bCs w:val="0"/>
          <w:color w:val="auto"/>
          <w:sz w:val="32"/>
          <w:szCs w:val="32"/>
          <w:highlight w:val="none"/>
          <w:lang w:val="en-US" w:eastAsia="en-US"/>
        </w:rPr>
        <w:t>准</w:t>
      </w:r>
    </w:p>
    <w:p w14:paraId="40F56E92">
      <w:pPr>
        <w:spacing w:line="60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bidi="ar-SA"/>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产生单位</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按规定建设一般工业固体废物贮存设施，</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并</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规范贮存一般工业固体废物。同时，产生尾矿库的单位按</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规定</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开展污染隐患排查治理。</w:t>
      </w:r>
    </w:p>
    <w:p w14:paraId="6FFE2C7A">
      <w:pPr>
        <w:spacing w:line="60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en-US"/>
        </w:rPr>
      </w:pPr>
      <w:r>
        <w:rPr>
          <w:rFonts w:hint="eastAsia" w:ascii="方正楷体_GBK" w:hAnsi="方正楷体_GBK" w:eastAsia="方正楷体_GBK" w:cs="方正楷体_GBK"/>
          <w:b w:val="0"/>
          <w:bCs w:val="0"/>
          <w:color w:val="auto"/>
          <w:sz w:val="32"/>
          <w:szCs w:val="32"/>
          <w:highlight w:val="none"/>
          <w:lang w:val="en-US" w:eastAsia="en-US"/>
        </w:rPr>
        <w:t>（三）法律依据</w:t>
      </w:r>
    </w:p>
    <w:p w14:paraId="6248F806">
      <w:pPr>
        <w:spacing w:line="60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w:t>
      </w:r>
      <w:r>
        <w:rPr>
          <w:rFonts w:hint="eastAsia" w:ascii="方正仿宋_GBK" w:hAnsi="方正仿宋_GBK" w:eastAsia="方正仿宋_GBK" w:cs="方正仿宋_GBK"/>
          <w:b w:val="0"/>
          <w:bCs w:val="0"/>
          <w:color w:val="auto"/>
          <w:sz w:val="32"/>
          <w:szCs w:val="32"/>
          <w:highlight w:val="none"/>
          <w:lang w:val="en-US" w:eastAsia="en-US"/>
        </w:rPr>
        <w:t>《固废法》第五条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产生、收集、贮存、运输、利用、处置固体废物的单位和个人，应当采取措施，防止或者减少固体废物对环境的污染，对所造成的环境污染依法承担责任</w:t>
      </w:r>
      <w:r>
        <w:rPr>
          <w:rFonts w:hint="eastAsia" w:ascii="方正仿宋_GBK" w:hAnsi="方正仿宋_GBK" w:eastAsia="方正仿宋_GBK" w:cs="方正仿宋_GBK"/>
          <w:b w:val="0"/>
          <w:bCs w:val="0"/>
          <w:color w:val="auto"/>
          <w:sz w:val="32"/>
          <w:szCs w:val="32"/>
          <w:highlight w:val="none"/>
          <w:lang w:val="en-US" w:eastAsia="zh-CN"/>
        </w:rPr>
        <w:t>。</w:t>
      </w:r>
    </w:p>
    <w:p w14:paraId="24FB0558">
      <w:pPr>
        <w:spacing w:line="60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z w:val="32"/>
          <w:szCs w:val="32"/>
          <w:highlight w:val="none"/>
          <w:lang w:val="en-US" w:eastAsia="en-US"/>
        </w:rPr>
        <w:t>《固废法》第二十条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产生、收集、贮存、运输、利用、处置固体废物的单位和其他生产经营者，应当采取防扬散、防流失、防渗漏或者其他防止污染环境的措施，不得擅自倾倒、堆放、丢弃、遗撒固体废物</w:t>
      </w:r>
      <w:r>
        <w:rPr>
          <w:rFonts w:hint="eastAsia" w:ascii="方正仿宋_GBK" w:hAnsi="方正仿宋_GBK" w:eastAsia="方正仿宋_GBK" w:cs="方正仿宋_GBK"/>
          <w:b w:val="0"/>
          <w:bCs w:val="0"/>
          <w:color w:val="auto"/>
          <w:sz w:val="32"/>
          <w:szCs w:val="32"/>
          <w:highlight w:val="none"/>
          <w:lang w:val="en-US" w:eastAsia="zh-CN"/>
        </w:rPr>
        <w:t>。</w:t>
      </w:r>
    </w:p>
    <w:p w14:paraId="0FC4DF12">
      <w:pPr>
        <w:spacing w:line="60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（3）</w:t>
      </w:r>
      <w:r>
        <w:rPr>
          <w:rFonts w:hint="eastAsia" w:ascii="方正仿宋_GBK" w:hAnsi="方正仿宋_GBK" w:eastAsia="方正仿宋_GBK" w:cs="方正仿宋_GBK"/>
          <w:b w:val="0"/>
          <w:bCs w:val="0"/>
          <w:color w:val="auto"/>
          <w:sz w:val="32"/>
          <w:szCs w:val="32"/>
          <w:highlight w:val="none"/>
          <w:lang w:val="en-US" w:eastAsia="en-US"/>
        </w:rPr>
        <w:t>《固废法》第三十六条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禁止向生活垃圾收集设施中投放工业固体废物</w:t>
      </w:r>
      <w:r>
        <w:rPr>
          <w:rFonts w:hint="eastAsia" w:ascii="方正仿宋_GBK" w:hAnsi="方正仿宋_GBK" w:eastAsia="方正仿宋_GBK" w:cs="方正仿宋_GBK"/>
          <w:b w:val="0"/>
          <w:bCs w:val="0"/>
          <w:color w:val="auto"/>
          <w:sz w:val="32"/>
          <w:szCs w:val="32"/>
          <w:highlight w:val="none"/>
          <w:lang w:val="en-US" w:eastAsia="zh-CN"/>
        </w:rPr>
        <w:t>。</w:t>
      </w:r>
    </w:p>
    <w:p w14:paraId="16CB22AD">
      <w:pPr>
        <w:spacing w:line="60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（4）</w:t>
      </w:r>
      <w:r>
        <w:rPr>
          <w:rFonts w:hint="eastAsia" w:ascii="方正仿宋_GBK" w:hAnsi="方正仿宋_GBK" w:eastAsia="方正仿宋_GBK" w:cs="方正仿宋_GBK"/>
          <w:b w:val="0"/>
          <w:bCs w:val="0"/>
          <w:color w:val="auto"/>
          <w:sz w:val="32"/>
          <w:szCs w:val="32"/>
          <w:highlight w:val="none"/>
          <w:lang w:val="en-US" w:eastAsia="en-US"/>
        </w:rPr>
        <w:t>《固废法》第四十条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产生工业固体废物的单位应当根据经济、技术条件对工业固体废物加以利用；对暂时不利用或者不能利用的，应当按照国务院生态环境等主管部门的规定建设贮存设施、场所，安全分类存放，或者采取无害化处置措施。贮存工业固体废物应当采取符合国家环境保护标准的防护措施</w:t>
      </w:r>
      <w:r>
        <w:rPr>
          <w:rFonts w:hint="eastAsia" w:ascii="方正仿宋_GBK" w:hAnsi="方正仿宋_GBK" w:eastAsia="方正仿宋_GBK" w:cs="方正仿宋_GBK"/>
          <w:b w:val="0"/>
          <w:bCs w:val="0"/>
          <w:color w:val="auto"/>
          <w:sz w:val="32"/>
          <w:szCs w:val="32"/>
          <w:highlight w:val="none"/>
          <w:lang w:val="en-US" w:eastAsia="zh-CN"/>
        </w:rPr>
        <w:t>。</w:t>
      </w:r>
    </w:p>
    <w:p w14:paraId="1B7A6964">
      <w:pPr>
        <w:spacing w:line="60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（5）</w:t>
      </w:r>
      <w:r>
        <w:rPr>
          <w:rFonts w:hint="eastAsia" w:ascii="方正仿宋_GBK" w:hAnsi="方正仿宋_GBK" w:eastAsia="方正仿宋_GBK" w:cs="方正仿宋_GBK"/>
          <w:b w:val="0"/>
          <w:bCs w:val="0"/>
          <w:color w:val="auto"/>
          <w:sz w:val="32"/>
          <w:szCs w:val="32"/>
          <w:highlight w:val="none"/>
          <w:lang w:val="en-US" w:eastAsia="en-US"/>
        </w:rPr>
        <w:t>《尾矿库污染隐患排查治理工作指南（试行）》（生态环境部公告2022年第10号）</w:t>
      </w:r>
      <w:r>
        <w:rPr>
          <w:rFonts w:hint="eastAsia" w:ascii="方正仿宋_GBK" w:hAnsi="方正仿宋_GBK" w:eastAsia="方正仿宋_GBK" w:cs="方正仿宋_GBK"/>
          <w:b w:val="0"/>
          <w:bCs w:val="0"/>
          <w:color w:val="auto"/>
          <w:sz w:val="32"/>
          <w:szCs w:val="32"/>
          <w:highlight w:val="none"/>
          <w:lang w:val="en-US" w:eastAsia="zh-CN"/>
        </w:rPr>
        <w:t>。</w:t>
      </w:r>
    </w:p>
    <w:p w14:paraId="731E0FC9">
      <w:pPr>
        <w:spacing w:line="600" w:lineRule="exact"/>
        <w:ind w:firstLine="640" w:firstLineChars="200"/>
        <w:jc w:val="both"/>
        <w:rPr>
          <w:rFonts w:hint="eastAsia" w:ascii="方正黑体_GBK" w:hAnsi="方正黑体_GBK" w:eastAsia="方正黑体_GBK" w:cs="方正黑体_GBK"/>
          <w:b w:val="0"/>
          <w:bCs w:val="0"/>
          <w:color w:val="auto"/>
          <w:sz w:val="32"/>
          <w:szCs w:val="32"/>
          <w:highlight w:val="none"/>
          <w:lang w:val="en-US" w:eastAsia="zh-CN"/>
        </w:rPr>
      </w:pPr>
      <w:r>
        <w:rPr>
          <w:rFonts w:hint="eastAsia" w:ascii="方正黑体_GBK" w:hAnsi="方正黑体_GBK" w:eastAsia="方正黑体_GBK" w:cs="方正黑体_GBK"/>
          <w:b w:val="0"/>
          <w:bCs w:val="0"/>
          <w:color w:val="auto"/>
          <w:sz w:val="32"/>
          <w:szCs w:val="32"/>
          <w:highlight w:val="none"/>
          <w:lang w:val="en-US" w:eastAsia="zh-CN"/>
        </w:rPr>
        <w:t>六、利用处置管理</w:t>
      </w:r>
    </w:p>
    <w:p w14:paraId="21CD6A4F">
      <w:pPr>
        <w:spacing w:line="60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（一）评估要点</w:t>
      </w:r>
    </w:p>
    <w:p w14:paraId="15F36321">
      <w:pPr>
        <w:spacing w:line="600" w:lineRule="exact"/>
        <w:ind w:firstLine="640" w:firstLineChars="200"/>
        <w:jc w:val="both"/>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pP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1）</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一般工业固体废物资源化利用产物</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应当符合《固体废物鉴别标准 通则》的相关要求。</w:t>
      </w:r>
    </w:p>
    <w:p w14:paraId="18535F39">
      <w:pPr>
        <w:spacing w:line="60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（2）</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一般工业固体废物以焚烧、填埋、水泥窑等方式自行处置</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的，</w:t>
      </w:r>
      <w:r>
        <w:rPr>
          <w:rFonts w:hint="eastAsia" w:ascii="方正仿宋_GBK" w:hAnsi="方正仿宋_GBK" w:eastAsia="方正仿宋_GBK" w:cs="方正仿宋_GBK"/>
          <w:b w:val="0"/>
          <w:bCs w:val="0"/>
          <w:color w:val="auto"/>
          <w:sz w:val="32"/>
          <w:szCs w:val="32"/>
          <w:highlight w:val="none"/>
          <w:lang w:val="en-US" w:eastAsia="zh-CN"/>
        </w:rPr>
        <w:t>应</w:t>
      </w:r>
      <w:r>
        <w:rPr>
          <w:rFonts w:hint="eastAsia" w:ascii="方正仿宋_GBK" w:hAnsi="方正仿宋_GBK" w:eastAsia="方正仿宋_GBK" w:cs="方正仿宋_GBK"/>
          <w:b w:val="0"/>
          <w:bCs w:val="0"/>
          <w:color w:val="auto"/>
          <w:sz w:val="32"/>
          <w:szCs w:val="32"/>
          <w:highlight w:val="none"/>
          <w:lang w:val="en-US" w:eastAsia="en-US"/>
        </w:rPr>
        <w:t>符合《一般工业固体废物贮存和填埋污染控制标准》（GB</w:t>
      </w:r>
      <w:r>
        <w:rPr>
          <w:rFonts w:hint="eastAsia" w:ascii="方正仿宋_GBK" w:hAnsi="方正仿宋_GBK" w:eastAsia="方正仿宋_GBK" w:cs="方正仿宋_GBK"/>
          <w:b w:val="0"/>
          <w:bCs w:val="0"/>
          <w:color w:val="auto"/>
          <w:sz w:val="32"/>
          <w:szCs w:val="32"/>
          <w:highlight w:val="none"/>
          <w:lang w:val="en-US" w:eastAsia="zh-CN"/>
        </w:rPr>
        <w:t xml:space="preserve"> </w:t>
      </w:r>
      <w:r>
        <w:rPr>
          <w:rFonts w:hint="eastAsia" w:ascii="方正仿宋_GBK" w:hAnsi="方正仿宋_GBK" w:eastAsia="方正仿宋_GBK" w:cs="方正仿宋_GBK"/>
          <w:b w:val="0"/>
          <w:bCs w:val="0"/>
          <w:color w:val="auto"/>
          <w:sz w:val="32"/>
          <w:szCs w:val="32"/>
          <w:highlight w:val="none"/>
          <w:lang w:val="en-US" w:eastAsia="en-US"/>
        </w:rPr>
        <w:t>18599）、《生活垃圾焚烧污染控制标准》（GB</w:t>
      </w:r>
      <w:r>
        <w:rPr>
          <w:rFonts w:hint="eastAsia" w:ascii="方正仿宋_GBK" w:hAnsi="方正仿宋_GBK" w:eastAsia="方正仿宋_GBK" w:cs="方正仿宋_GBK"/>
          <w:b w:val="0"/>
          <w:bCs w:val="0"/>
          <w:color w:val="auto"/>
          <w:sz w:val="32"/>
          <w:szCs w:val="32"/>
          <w:highlight w:val="none"/>
          <w:lang w:val="en-US" w:eastAsia="zh-CN"/>
        </w:rPr>
        <w:t xml:space="preserve"> </w:t>
      </w:r>
      <w:r>
        <w:rPr>
          <w:rFonts w:hint="eastAsia" w:ascii="方正仿宋_GBK" w:hAnsi="方正仿宋_GBK" w:eastAsia="方正仿宋_GBK" w:cs="方正仿宋_GBK"/>
          <w:b w:val="0"/>
          <w:bCs w:val="0"/>
          <w:color w:val="auto"/>
          <w:sz w:val="32"/>
          <w:szCs w:val="32"/>
          <w:highlight w:val="none"/>
          <w:lang w:val="en-US" w:eastAsia="en-US"/>
        </w:rPr>
        <w:t>18485）、《水泥窑协同处置固体废物污染控制标准》（GB 30485）等有关标准规范。</w:t>
      </w:r>
    </w:p>
    <w:p w14:paraId="7B952983">
      <w:pPr>
        <w:spacing w:line="60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snapToGrid/>
          <w:color w:val="auto"/>
          <w:spacing w:val="0"/>
          <w:kern w:val="2"/>
          <w:sz w:val="32"/>
          <w:szCs w:val="32"/>
          <w:highlight w:val="none"/>
          <w:lang w:val="en-US" w:eastAsia="en-US" w:bidi="ar-SA"/>
          <w14:ligatures w14:val="standardContextual"/>
        </w:rPr>
        <w:t>（3）</w:t>
      </w:r>
      <w:r>
        <w:rPr>
          <w:rFonts w:hint="eastAsia" w:ascii="方正仿宋_GBK" w:hAnsi="方正仿宋_GBK" w:eastAsia="方正仿宋_GBK" w:cs="方正仿宋_GBK"/>
          <w:b w:val="0"/>
          <w:bCs w:val="0"/>
          <w:snapToGrid/>
          <w:color w:val="auto"/>
          <w:spacing w:val="0"/>
          <w:kern w:val="2"/>
          <w:sz w:val="32"/>
          <w:szCs w:val="32"/>
          <w:highlight w:val="none"/>
          <w:lang w:val="en-US" w:eastAsia="zh-CN" w:bidi="ar-SA"/>
          <w14:ligatures w14:val="standardContextual"/>
        </w:rPr>
        <w:t>根据</w:t>
      </w:r>
      <w:r>
        <w:rPr>
          <w:rFonts w:hint="eastAsia" w:ascii="方正仿宋_GBK" w:hAnsi="方正仿宋_GBK" w:eastAsia="方正仿宋_GBK" w:cs="方正仿宋_GBK"/>
          <w:b w:val="0"/>
          <w:bCs w:val="0"/>
          <w:snapToGrid/>
          <w:color w:val="auto"/>
          <w:spacing w:val="0"/>
          <w:kern w:val="2"/>
          <w:sz w:val="32"/>
          <w:szCs w:val="32"/>
          <w:highlight w:val="none"/>
          <w:lang w:val="en-US" w:eastAsia="en-US" w:bidi="ar-SA"/>
          <w14:ligatures w14:val="standardContextual"/>
        </w:rPr>
        <w:t>有关法律和排污单位自行监测技术指南</w:t>
      </w:r>
      <w:r>
        <w:rPr>
          <w:rFonts w:hint="eastAsia" w:ascii="方正仿宋_GBK" w:hAnsi="方正仿宋_GBK" w:eastAsia="方正仿宋_GBK" w:cs="方正仿宋_GBK"/>
          <w:b w:val="0"/>
          <w:bCs w:val="0"/>
          <w:snapToGrid/>
          <w:color w:val="auto"/>
          <w:spacing w:val="0"/>
          <w:kern w:val="2"/>
          <w:sz w:val="32"/>
          <w:szCs w:val="32"/>
          <w:highlight w:val="none"/>
          <w:lang w:val="en-US" w:eastAsia="zh-CN" w:bidi="ar-SA"/>
          <w14:ligatures w14:val="standardContextual"/>
        </w:rPr>
        <w:t>等</w:t>
      </w:r>
      <w:r>
        <w:rPr>
          <w:rFonts w:hint="eastAsia" w:ascii="方正仿宋_GBK" w:hAnsi="方正仿宋_GBK" w:eastAsia="方正仿宋_GBK" w:cs="方正仿宋_GBK"/>
          <w:b w:val="0"/>
          <w:bCs w:val="0"/>
          <w:snapToGrid/>
          <w:color w:val="auto"/>
          <w:spacing w:val="0"/>
          <w:kern w:val="2"/>
          <w:sz w:val="32"/>
          <w:szCs w:val="32"/>
          <w:highlight w:val="none"/>
          <w:lang w:val="en-US" w:eastAsia="en-US" w:bidi="ar-SA"/>
          <w14:ligatures w14:val="standardContextual"/>
        </w:rPr>
        <w:t>规定，建立企业监测制度，制定监测方案，</w:t>
      </w:r>
      <w:r>
        <w:rPr>
          <w:rFonts w:hint="eastAsia" w:ascii="方正仿宋_GBK" w:hAnsi="方正仿宋_GBK" w:eastAsia="方正仿宋_GBK" w:cs="方正仿宋_GBK"/>
          <w:b w:val="0"/>
          <w:bCs w:val="0"/>
          <w:snapToGrid/>
          <w:color w:val="auto"/>
          <w:spacing w:val="0"/>
          <w:kern w:val="2"/>
          <w:sz w:val="32"/>
          <w:szCs w:val="32"/>
          <w:highlight w:val="none"/>
          <w:lang w:val="en-US" w:eastAsia="zh-CN" w:bidi="ar-SA"/>
          <w14:ligatures w14:val="standardContextual"/>
        </w:rPr>
        <w:t>应在</w:t>
      </w:r>
      <w:r>
        <w:rPr>
          <w:rFonts w:hint="eastAsia" w:ascii="方正仿宋_GBK" w:hAnsi="方正仿宋_GBK" w:eastAsia="方正仿宋_GBK" w:cs="方正仿宋_GBK"/>
          <w:b w:val="0"/>
          <w:bCs w:val="0"/>
          <w:snapToGrid/>
          <w:color w:val="auto"/>
          <w:spacing w:val="0"/>
          <w:kern w:val="2"/>
          <w:sz w:val="32"/>
          <w:szCs w:val="32"/>
          <w:highlight w:val="none"/>
          <w:lang w:val="en-US" w:eastAsia="en-US" w:bidi="ar-SA"/>
          <w14:ligatures w14:val="standardContextual"/>
        </w:rPr>
        <w:t>近一年内按照监测方案要求的监测点位、监测指标和监测频次对自行利用、处置设施污染物排放情况进行监测，有环境监测报告，并且污染物排放符合执行标准。</w:t>
      </w:r>
    </w:p>
    <w:p w14:paraId="041375BB">
      <w:pPr>
        <w:spacing w:line="60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en-US"/>
        </w:rPr>
      </w:pPr>
      <w:r>
        <w:rPr>
          <w:rFonts w:hint="eastAsia" w:ascii="方正楷体_GBK" w:hAnsi="方正楷体_GBK" w:eastAsia="方正楷体_GBK" w:cs="方正楷体_GBK"/>
          <w:b w:val="0"/>
          <w:bCs w:val="0"/>
          <w:color w:val="auto"/>
          <w:sz w:val="32"/>
          <w:szCs w:val="32"/>
          <w:highlight w:val="none"/>
          <w:lang w:val="en-US" w:eastAsia="zh-CN"/>
        </w:rPr>
        <w:t>（二）达标标准</w:t>
      </w:r>
    </w:p>
    <w:p w14:paraId="26C3039F">
      <w:pPr>
        <w:spacing w:line="600" w:lineRule="exact"/>
        <w:ind w:firstLine="640" w:firstLineChars="200"/>
        <w:jc w:val="both"/>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产废</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单位对一般工业固体废物进行资源化利用时，其资源化产品符合《固体废物鉴别标准 通则》的相关要求；进行无害化处置时，其运行符合相关标准规范</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；根据相关规定制定有自行监测制度和方案，且符合相关要求。</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同时，相关利用处置设施的建设应依法进行环境影响评价，并完成</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三同时</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验收。</w:t>
      </w:r>
    </w:p>
    <w:p w14:paraId="42D7A913">
      <w:pPr>
        <w:spacing w:line="60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（三）注意事项</w:t>
      </w:r>
    </w:p>
    <w:p w14:paraId="33C58454">
      <w:pPr>
        <w:spacing w:line="600" w:lineRule="exact"/>
        <w:ind w:firstLine="640" w:firstLineChars="200"/>
        <w:jc w:val="both"/>
        <w:rPr>
          <w:rFonts w:hint="eastAsia" w:ascii="方正仿宋_GBK" w:hAnsi="方正仿宋_GBK" w:eastAsia="方正仿宋_GBK" w:cs="方正仿宋_GBK"/>
          <w:b w:val="0"/>
          <w:bCs w:val="0"/>
          <w:snapToGrid/>
          <w:color w:val="auto"/>
          <w:spacing w:val="0"/>
          <w:sz w:val="32"/>
          <w:szCs w:val="32"/>
          <w:highlight w:val="none"/>
          <w:lang w:val="en-US" w:eastAsia="zh-CN" w:bidi="ar-SA"/>
        </w:rPr>
      </w:pPr>
      <w:r>
        <w:rPr>
          <w:rFonts w:hint="eastAsia" w:ascii="方正仿宋_GBK" w:hAnsi="方正仿宋_GBK" w:eastAsia="方正仿宋_GBK" w:cs="方正仿宋_GBK"/>
          <w:b w:val="0"/>
          <w:bCs w:val="0"/>
          <w:snapToGrid/>
          <w:color w:val="auto"/>
          <w:spacing w:val="0"/>
          <w:sz w:val="32"/>
          <w:szCs w:val="32"/>
          <w:highlight w:val="none"/>
          <w:lang w:val="en-US" w:eastAsia="zh-CN" w:bidi="ar-SA"/>
        </w:rPr>
        <w:t>本项适用于建设有一般工业固体废物资源化利用或无害化处置设施，且该设施正常运行的所有企业。</w:t>
      </w:r>
    </w:p>
    <w:p w14:paraId="04619550">
      <w:pPr>
        <w:spacing w:line="60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en-US"/>
        </w:rPr>
      </w:pPr>
      <w:r>
        <w:rPr>
          <w:rFonts w:hint="eastAsia" w:ascii="方正楷体_GBK" w:hAnsi="方正楷体_GBK" w:eastAsia="方正楷体_GBK" w:cs="方正楷体_GBK"/>
          <w:b w:val="0"/>
          <w:bCs w:val="0"/>
          <w:color w:val="auto"/>
          <w:sz w:val="32"/>
          <w:szCs w:val="32"/>
          <w:highlight w:val="none"/>
          <w:lang w:val="en-US" w:eastAsia="en-US"/>
        </w:rPr>
        <w:t>（</w:t>
      </w:r>
      <w:r>
        <w:rPr>
          <w:rFonts w:hint="eastAsia" w:ascii="方正楷体_GBK" w:hAnsi="方正楷体_GBK" w:eastAsia="方正楷体_GBK" w:cs="方正楷体_GBK"/>
          <w:b w:val="0"/>
          <w:bCs w:val="0"/>
          <w:color w:val="auto"/>
          <w:sz w:val="32"/>
          <w:szCs w:val="32"/>
          <w:highlight w:val="none"/>
          <w:lang w:val="en-US" w:eastAsia="zh-CN"/>
        </w:rPr>
        <w:t>四</w:t>
      </w:r>
      <w:r>
        <w:rPr>
          <w:rFonts w:hint="eastAsia" w:ascii="方正楷体_GBK" w:hAnsi="方正楷体_GBK" w:eastAsia="方正楷体_GBK" w:cs="方正楷体_GBK"/>
          <w:b w:val="0"/>
          <w:bCs w:val="0"/>
          <w:color w:val="auto"/>
          <w:sz w:val="32"/>
          <w:szCs w:val="32"/>
          <w:highlight w:val="none"/>
          <w:lang w:val="en-US" w:eastAsia="en-US"/>
        </w:rPr>
        <w:t>）法律依据</w:t>
      </w:r>
    </w:p>
    <w:p w14:paraId="51CC3C3A">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w:t>
      </w:r>
      <w:r>
        <w:rPr>
          <w:rFonts w:hint="eastAsia" w:ascii="方正仿宋_GBK" w:hAnsi="方正仿宋_GBK" w:eastAsia="方正仿宋_GBK" w:cs="方正仿宋_GBK"/>
          <w:b w:val="0"/>
          <w:bCs w:val="0"/>
          <w:color w:val="auto"/>
          <w:sz w:val="32"/>
          <w:szCs w:val="32"/>
          <w:highlight w:val="none"/>
          <w:lang w:val="en-US" w:eastAsia="en-US"/>
        </w:rPr>
        <w:t>《固废法》第五条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产生、收集、贮存、运输、利用、处置固体废物的单位和个人，应当采取措施，防止或者减少固体废物对环境的污染，对所造成的环境污染依法承担责任</w:t>
      </w:r>
      <w:r>
        <w:rPr>
          <w:rFonts w:hint="eastAsia" w:ascii="方正仿宋_GBK" w:hAnsi="方正仿宋_GBK" w:eastAsia="方正仿宋_GBK" w:cs="方正仿宋_GBK"/>
          <w:b w:val="0"/>
          <w:bCs w:val="0"/>
          <w:color w:val="auto"/>
          <w:sz w:val="32"/>
          <w:szCs w:val="32"/>
          <w:highlight w:val="none"/>
          <w:lang w:val="en-US" w:eastAsia="zh-CN"/>
        </w:rPr>
        <w:t>。</w:t>
      </w:r>
    </w:p>
    <w:p w14:paraId="33F64F18">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z w:val="32"/>
          <w:szCs w:val="32"/>
          <w:highlight w:val="none"/>
          <w:lang w:val="en-US" w:eastAsia="en-US"/>
        </w:rPr>
        <w:t>《固废法》第四十条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产生工业固体废物的单位应当根据经济、技术条件对工业固体废物加以利用；对暂时不利用或者不能利用的，应当按照国务院生态环境等主管部门的规定建设贮存设施、场所，安全分类存放，或者采取无害化处置措施。贮存工业固体废物应当采取符合国家环境保护标准的防护措施。</w:t>
      </w:r>
    </w:p>
    <w:p w14:paraId="05D13824">
      <w:pPr>
        <w:spacing w:line="600" w:lineRule="atLeast"/>
        <w:ind w:firstLine="640" w:firstLineChars="200"/>
        <w:jc w:val="both"/>
        <w:rPr>
          <w:rFonts w:hint="eastAsia" w:ascii="方正黑体_GBK" w:hAnsi="方正黑体_GBK" w:eastAsia="方正黑体_GBK" w:cs="方正黑体_GBK"/>
          <w:b w:val="0"/>
          <w:bCs w:val="0"/>
          <w:color w:val="auto"/>
          <w:sz w:val="32"/>
          <w:szCs w:val="32"/>
          <w:highlight w:val="none"/>
          <w:lang w:val="en-US" w:eastAsia="zh-CN"/>
        </w:rPr>
      </w:pPr>
      <w:r>
        <w:rPr>
          <w:rFonts w:hint="eastAsia" w:ascii="方正黑体_GBK" w:hAnsi="方正黑体_GBK" w:eastAsia="方正黑体_GBK" w:cs="方正黑体_GBK"/>
          <w:b w:val="0"/>
          <w:bCs w:val="0"/>
          <w:color w:val="auto"/>
          <w:sz w:val="32"/>
          <w:szCs w:val="32"/>
          <w:highlight w:val="none"/>
          <w:lang w:val="en-US" w:eastAsia="zh-CN"/>
        </w:rPr>
        <w:t>七、</w:t>
      </w:r>
      <w:r>
        <w:rPr>
          <w:rFonts w:hint="eastAsia" w:ascii="方正黑体_GBK" w:hAnsi="方正黑体_GBK" w:eastAsia="方正黑体_GBK" w:cs="方正黑体_GBK"/>
          <w:b w:val="0"/>
          <w:bCs w:val="0"/>
          <w:color w:val="auto"/>
          <w:sz w:val="32"/>
          <w:szCs w:val="32"/>
          <w:highlight w:val="none"/>
          <w:lang w:val="en-US" w:eastAsia="en-US"/>
        </w:rPr>
        <w:t>转移管理</w:t>
      </w:r>
    </w:p>
    <w:p w14:paraId="7A044E46">
      <w:pPr>
        <w:spacing w:line="600" w:lineRule="atLeas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（一）评估要点</w:t>
      </w:r>
    </w:p>
    <w:p w14:paraId="4A28AEBE">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w:t>
      </w:r>
      <w:r>
        <w:rPr>
          <w:rFonts w:hint="eastAsia" w:ascii="方正仿宋_GBK" w:hAnsi="方正仿宋_GBK" w:eastAsia="方正仿宋_GBK" w:cs="方正仿宋_GBK"/>
          <w:b w:val="0"/>
          <w:bCs w:val="0"/>
          <w:snapToGrid/>
          <w:color w:val="auto"/>
          <w:spacing w:val="0"/>
          <w:kern w:val="0"/>
          <w:sz w:val="32"/>
          <w:szCs w:val="32"/>
          <w:highlight w:val="none"/>
        </w:rPr>
        <w:t>产</w:t>
      </w:r>
      <w:r>
        <w:rPr>
          <w:rFonts w:hint="eastAsia" w:ascii="方正仿宋_GBK" w:hAnsi="方正仿宋_GBK" w:eastAsia="方正仿宋_GBK" w:cs="方正仿宋_GBK"/>
          <w:b w:val="0"/>
          <w:bCs w:val="0"/>
          <w:snapToGrid/>
          <w:color w:val="auto"/>
          <w:spacing w:val="0"/>
          <w:kern w:val="0"/>
          <w:sz w:val="32"/>
          <w:szCs w:val="32"/>
          <w:highlight w:val="none"/>
          <w:lang w:val="en-US" w:eastAsia="zh-CN"/>
        </w:rPr>
        <w:t>废</w:t>
      </w:r>
      <w:r>
        <w:rPr>
          <w:rFonts w:hint="eastAsia" w:ascii="方正仿宋_GBK" w:hAnsi="方正仿宋_GBK" w:eastAsia="方正仿宋_GBK" w:cs="方正仿宋_GBK"/>
          <w:b w:val="0"/>
          <w:bCs w:val="0"/>
          <w:snapToGrid/>
          <w:color w:val="auto"/>
          <w:spacing w:val="0"/>
          <w:kern w:val="0"/>
          <w:sz w:val="32"/>
          <w:szCs w:val="32"/>
          <w:highlight w:val="none"/>
        </w:rPr>
        <w:t>单位直接委托利用处置一般工业固体废物的，在发生委托行为之前，核实受托方的主体资格和技术能力</w:t>
      </w:r>
      <w:r>
        <w:rPr>
          <w:rFonts w:hint="eastAsia" w:ascii="方正仿宋_GBK" w:hAnsi="方正仿宋_GBK" w:eastAsia="方正仿宋_GBK" w:cs="方正仿宋_GBK"/>
          <w:b w:val="0"/>
          <w:bCs w:val="0"/>
          <w:color w:val="auto"/>
          <w:sz w:val="32"/>
          <w:szCs w:val="32"/>
          <w:highlight w:val="none"/>
          <w:lang w:val="en-US" w:eastAsia="zh-CN"/>
        </w:rPr>
        <w:t>：</w:t>
      </w:r>
    </w:p>
    <w:p w14:paraId="24105534">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1）营业执照；</w:t>
      </w:r>
    </w:p>
    <w:p w14:paraId="3596B551">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2）环境影响评价文件及批复文件；</w:t>
      </w:r>
    </w:p>
    <w:p w14:paraId="7B56BC8F">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3）排污许可证。</w:t>
      </w:r>
    </w:p>
    <w:p w14:paraId="1BEE4114">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基于上述材料，或者产废单位认为有必要的，可到利用、处置单位施工现场，进一步核实该利用、处置企业的技术能力。</w:t>
      </w:r>
    </w:p>
    <w:p w14:paraId="627B4E3C">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z w:val="32"/>
          <w:szCs w:val="32"/>
          <w:highlight w:val="none"/>
          <w:lang w:val="en-US" w:eastAsia="en-US"/>
        </w:rPr>
        <w:t>）</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产废单位与受托单位签订的合同至少应包含以下内容</w:t>
      </w:r>
      <w:r>
        <w:rPr>
          <w:rFonts w:hint="eastAsia" w:ascii="方正仿宋_GBK" w:hAnsi="方正仿宋_GBK" w:eastAsia="方正仿宋_GBK" w:cs="方正仿宋_GBK"/>
          <w:b w:val="0"/>
          <w:bCs w:val="0"/>
          <w:color w:val="auto"/>
          <w:sz w:val="32"/>
          <w:szCs w:val="32"/>
          <w:highlight w:val="none"/>
          <w:lang w:val="en-US" w:eastAsia="en-US"/>
        </w:rPr>
        <w:t>：</w:t>
      </w:r>
    </w:p>
    <w:p w14:paraId="5BE4C280">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w:t>
      </w:r>
      <w:r>
        <w:rPr>
          <w:rFonts w:hint="eastAsia" w:ascii="方正仿宋_GBK" w:hAnsi="方正仿宋_GBK" w:eastAsia="方正仿宋_GBK" w:cs="方正仿宋_GBK"/>
          <w:b w:val="0"/>
          <w:bCs w:val="0"/>
          <w:color w:val="auto"/>
          <w:sz w:val="32"/>
          <w:szCs w:val="32"/>
          <w:highlight w:val="none"/>
          <w:lang w:val="en-US" w:eastAsia="en-US"/>
        </w:rPr>
        <w:t>一般工业固体废物的委托单价</w:t>
      </w:r>
      <w:r>
        <w:rPr>
          <w:rFonts w:hint="eastAsia" w:ascii="方正仿宋_GBK" w:hAnsi="方正仿宋_GBK" w:eastAsia="方正仿宋_GBK" w:cs="方正仿宋_GBK"/>
          <w:b w:val="0"/>
          <w:bCs w:val="0"/>
          <w:color w:val="auto"/>
          <w:sz w:val="32"/>
          <w:szCs w:val="32"/>
          <w:highlight w:val="none"/>
          <w:lang w:val="en-US" w:eastAsia="zh-CN"/>
        </w:rPr>
        <w:t>。</w:t>
      </w:r>
    </w:p>
    <w:p w14:paraId="3ED87129">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z w:val="32"/>
          <w:szCs w:val="32"/>
          <w:highlight w:val="none"/>
          <w:lang w:val="en-US" w:eastAsia="en-US"/>
        </w:rPr>
        <w:t>一般工业固体废物的产生环节</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种类</w:t>
      </w:r>
      <w:r>
        <w:rPr>
          <w:rFonts w:hint="eastAsia" w:ascii="方正仿宋_GBK" w:hAnsi="方正仿宋_GBK" w:eastAsia="方正仿宋_GBK" w:cs="方正仿宋_GBK"/>
          <w:b w:val="0"/>
          <w:bCs w:val="0"/>
          <w:color w:val="auto"/>
          <w:sz w:val="32"/>
          <w:szCs w:val="32"/>
          <w:highlight w:val="none"/>
          <w:lang w:val="en-US" w:eastAsia="zh-CN"/>
        </w:rPr>
        <w:t>、代码、</w:t>
      </w:r>
      <w:r>
        <w:rPr>
          <w:rFonts w:hint="eastAsia" w:ascii="方正仿宋_GBK" w:hAnsi="方正仿宋_GBK" w:eastAsia="方正仿宋_GBK" w:cs="方正仿宋_GBK"/>
          <w:b w:val="0"/>
          <w:bCs w:val="0"/>
          <w:color w:val="auto"/>
          <w:sz w:val="32"/>
          <w:szCs w:val="32"/>
          <w:highlight w:val="none"/>
          <w:lang w:val="en-US" w:eastAsia="en-US"/>
        </w:rPr>
        <w:t>物理性状</w:t>
      </w:r>
      <w:r>
        <w:rPr>
          <w:rFonts w:hint="eastAsia" w:ascii="方正仿宋_GBK" w:hAnsi="方正仿宋_GBK" w:eastAsia="方正仿宋_GBK" w:cs="方正仿宋_GBK"/>
          <w:b w:val="0"/>
          <w:bCs w:val="0"/>
          <w:color w:val="auto"/>
          <w:sz w:val="32"/>
          <w:szCs w:val="32"/>
          <w:highlight w:val="none"/>
          <w:lang w:val="en-US" w:eastAsia="zh-CN"/>
        </w:rPr>
        <w:t>、包装方式、</w:t>
      </w:r>
      <w:r>
        <w:rPr>
          <w:rFonts w:hint="eastAsia" w:ascii="方正仿宋_GBK" w:hAnsi="方正仿宋_GBK" w:eastAsia="方正仿宋_GBK" w:cs="方正仿宋_GBK"/>
          <w:b w:val="0"/>
          <w:bCs w:val="0"/>
          <w:color w:val="auto"/>
          <w:sz w:val="32"/>
          <w:szCs w:val="32"/>
          <w:highlight w:val="none"/>
          <w:lang w:val="en-US" w:eastAsia="en-US"/>
        </w:rPr>
        <w:t>数量</w:t>
      </w:r>
      <w:r>
        <w:rPr>
          <w:rFonts w:hint="eastAsia" w:ascii="方正仿宋_GBK" w:hAnsi="方正仿宋_GBK" w:eastAsia="方正仿宋_GBK" w:cs="方正仿宋_GBK"/>
          <w:b w:val="0"/>
          <w:bCs w:val="0"/>
          <w:color w:val="auto"/>
          <w:sz w:val="32"/>
          <w:szCs w:val="32"/>
          <w:highlight w:val="none"/>
          <w:lang w:val="en-US" w:eastAsia="zh-CN"/>
        </w:rPr>
        <w:t>及处置方式等明细。</w:t>
      </w:r>
    </w:p>
    <w:p w14:paraId="0B3231B5">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3）受托方</w:t>
      </w:r>
      <w:r>
        <w:rPr>
          <w:rFonts w:hint="eastAsia" w:ascii="方正仿宋_GBK" w:hAnsi="方正仿宋_GBK" w:eastAsia="方正仿宋_GBK" w:cs="方正仿宋_GBK"/>
          <w:b w:val="0"/>
          <w:bCs w:val="0"/>
          <w:color w:val="auto"/>
          <w:sz w:val="32"/>
          <w:szCs w:val="32"/>
          <w:highlight w:val="none"/>
          <w:lang w:val="en-US" w:eastAsia="en-US"/>
        </w:rPr>
        <w:t>利用、处置一般工业固体废物的</w:t>
      </w:r>
      <w:r>
        <w:rPr>
          <w:rFonts w:hint="eastAsia" w:ascii="方正仿宋_GBK" w:hAnsi="方正仿宋_GBK" w:eastAsia="方正仿宋_GBK" w:cs="方正仿宋_GBK"/>
          <w:b w:val="0"/>
          <w:bCs w:val="0"/>
          <w:color w:val="auto"/>
          <w:sz w:val="32"/>
          <w:szCs w:val="32"/>
          <w:highlight w:val="none"/>
          <w:lang w:val="en-US" w:eastAsia="zh-CN"/>
        </w:rPr>
        <w:t>场所、</w:t>
      </w:r>
      <w:r>
        <w:rPr>
          <w:rFonts w:hint="eastAsia" w:ascii="方正仿宋_GBK" w:hAnsi="方正仿宋_GBK" w:eastAsia="方正仿宋_GBK" w:cs="方正仿宋_GBK"/>
          <w:b w:val="0"/>
          <w:bCs w:val="0"/>
          <w:color w:val="auto"/>
          <w:sz w:val="32"/>
          <w:szCs w:val="32"/>
          <w:highlight w:val="none"/>
          <w:lang w:val="en-US" w:eastAsia="en-US"/>
        </w:rPr>
        <w:t>采取的技术方法以及利用处置能力</w:t>
      </w:r>
      <w:r>
        <w:rPr>
          <w:rFonts w:hint="eastAsia" w:ascii="方正仿宋_GBK" w:hAnsi="方正仿宋_GBK" w:eastAsia="方正仿宋_GBK" w:cs="方正仿宋_GBK"/>
          <w:b w:val="0"/>
          <w:bCs w:val="0"/>
          <w:color w:val="auto"/>
          <w:sz w:val="32"/>
          <w:szCs w:val="32"/>
          <w:highlight w:val="none"/>
          <w:lang w:val="en-US" w:eastAsia="zh-CN"/>
        </w:rPr>
        <w:t>。</w:t>
      </w:r>
    </w:p>
    <w:p w14:paraId="33D81253">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4</w:t>
      </w:r>
      <w:r>
        <w:rPr>
          <w:rFonts w:hint="eastAsia" w:ascii="方正仿宋_GBK" w:hAnsi="方正仿宋_GBK" w:eastAsia="方正仿宋_GBK" w:cs="方正仿宋_GBK"/>
          <w:b w:val="0"/>
          <w:bCs w:val="0"/>
          <w:color w:val="auto"/>
          <w:sz w:val="32"/>
          <w:szCs w:val="32"/>
          <w:highlight w:val="none"/>
          <w:lang w:val="en-US" w:eastAsia="en-US"/>
        </w:rPr>
        <w:t>）</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受托方在利用处置一般工业固体废物结束后及时向委托方报告的要求</w:t>
      </w:r>
      <w:r>
        <w:rPr>
          <w:rFonts w:hint="eastAsia" w:ascii="方正仿宋_GBK" w:hAnsi="方正仿宋_GBK" w:eastAsia="方正仿宋_GBK" w:cs="方正仿宋_GBK"/>
          <w:b w:val="0"/>
          <w:bCs w:val="0"/>
          <w:color w:val="auto"/>
          <w:sz w:val="32"/>
          <w:szCs w:val="32"/>
          <w:highlight w:val="none"/>
          <w:lang w:val="en-US" w:eastAsia="en-US"/>
        </w:rPr>
        <w:t>。</w:t>
      </w:r>
    </w:p>
    <w:p w14:paraId="6335A7DC">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5）明确受托方运输、利用、处置一般工业固体废物所执行的污染控制标准，如果没有对应的污染控制标准，双方应当根据实际情况约定污染防治要求</w:t>
      </w:r>
      <w:r>
        <w:rPr>
          <w:rFonts w:hint="eastAsia" w:ascii="方正仿宋_GBK" w:hAnsi="方正仿宋_GBK" w:eastAsia="方正仿宋_GBK" w:cs="方正仿宋_GBK"/>
          <w:b w:val="0"/>
          <w:bCs w:val="0"/>
          <w:color w:val="auto"/>
          <w:sz w:val="32"/>
          <w:szCs w:val="32"/>
          <w:highlight w:val="none"/>
          <w:lang w:val="en-US" w:eastAsia="zh-CN"/>
        </w:rPr>
        <w:t>。</w:t>
      </w:r>
    </w:p>
    <w:p w14:paraId="0ED6D74B">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6）</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将核实受托方的利用处置一般工业固体废物能力的文件作为合同附件。</w:t>
      </w:r>
    </w:p>
    <w:p w14:paraId="6C0A218A">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（3）</w:t>
      </w:r>
      <w:r>
        <w:rPr>
          <w:rFonts w:hint="eastAsia" w:ascii="方正仿宋_GBK" w:hAnsi="方正仿宋_GBK" w:eastAsia="方正仿宋_GBK" w:cs="方正仿宋_GBK"/>
          <w:b w:val="0"/>
          <w:bCs w:val="0"/>
          <w:snapToGrid/>
          <w:color w:val="auto"/>
          <w:spacing w:val="0"/>
          <w:kern w:val="2"/>
          <w:sz w:val="32"/>
          <w:szCs w:val="32"/>
          <w:highlight w:val="none"/>
          <w:lang w:val="en-US" w:eastAsia="zh-CN"/>
        </w:rPr>
        <w:t>产生一般工业固体废物的规模以上、年产生量100吨及以上（近三年内）的企业</w:t>
      </w:r>
      <w:r>
        <w:rPr>
          <w:rFonts w:hint="eastAsia" w:ascii="方正仿宋_GBK" w:hAnsi="方正仿宋_GBK" w:eastAsia="方正仿宋_GBK" w:cs="方正仿宋_GBK"/>
          <w:b w:val="0"/>
          <w:bCs w:val="0"/>
          <w:color w:val="auto"/>
          <w:sz w:val="32"/>
          <w:szCs w:val="32"/>
          <w:highlight w:val="none"/>
          <w:lang w:val="en-US" w:eastAsia="zh-CN"/>
        </w:rPr>
        <w:t>以及运输和接收一般工业固体废物的单位应按照实际转移情况如实在“巴渝治废管理信息系统”相关模块填报一般工业固体废物转移联单。</w:t>
      </w:r>
    </w:p>
    <w:p w14:paraId="3A7016CB">
      <w:pPr>
        <w:spacing w:line="600" w:lineRule="atLeast"/>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drawing>
          <wp:inline distT="0" distB="0" distL="114300" distR="114300">
            <wp:extent cx="4498340" cy="1936115"/>
            <wp:effectExtent l="12700" t="12700" r="22860" b="13335"/>
            <wp:docPr id="13" name="图片 13" descr="一般工业固废转运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一般工业固废转运单"/>
                    <pic:cNvPicPr>
                      <a:picLocks noChangeAspect="1"/>
                    </pic:cNvPicPr>
                  </pic:nvPicPr>
                  <pic:blipFill>
                    <a:blip r:embed="rId21"/>
                    <a:stretch>
                      <a:fillRect/>
                    </a:stretch>
                  </pic:blipFill>
                  <pic:spPr>
                    <a:xfrm>
                      <a:off x="0" y="0"/>
                      <a:ext cx="4498340" cy="1936115"/>
                    </a:xfrm>
                    <a:prstGeom prst="rect">
                      <a:avLst/>
                    </a:prstGeom>
                    <a:noFill/>
                    <a:ln w="12700">
                      <a:solidFill>
                        <a:schemeClr val="tx1"/>
                      </a:solidFill>
                    </a:ln>
                  </pic:spPr>
                </pic:pic>
              </a:graphicData>
            </a:graphic>
          </wp:inline>
        </w:drawing>
      </w:r>
    </w:p>
    <w:p w14:paraId="63E4EF60">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（4）产生单位应与受托方签订利用/处置合同；若受托方不具有利用/处置能力的，产生单位应要求受托方提供其与第三方签订的利用/处置合同。</w:t>
      </w:r>
    </w:p>
    <w:p w14:paraId="6CC5BB53">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（5）一般工业固体废物跨省转移：</w:t>
      </w:r>
    </w:p>
    <w:p w14:paraId="1FF6A94B">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1）一般工业固体废物转移出重庆市区域贮存、处置的，产生单位完成申请及审批手续；</w:t>
      </w:r>
    </w:p>
    <w:p w14:paraId="5637DB0B">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固体废物跨省贮存、处置审批地址（重庆市网上办事大厅）：</w:t>
      </w:r>
    </w:p>
    <w:p w14:paraId="54713F72">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fldChar w:fldCharType="begin"/>
      </w:r>
      <w:r>
        <w:rPr>
          <w:rFonts w:hint="eastAsia" w:ascii="方正仿宋_GBK" w:hAnsi="方正仿宋_GBK" w:eastAsia="方正仿宋_GBK" w:cs="方正仿宋_GBK"/>
          <w:b w:val="0"/>
          <w:bCs w:val="0"/>
          <w:color w:val="auto"/>
          <w:sz w:val="32"/>
          <w:szCs w:val="32"/>
          <w:highlight w:val="none"/>
          <w:lang w:val="en-US" w:eastAsia="zh-CN"/>
        </w:rPr>
        <w:instrText xml:space="preserve"> HYPERLINK "https://zwykb.cq.gov.cn/v2/bszn.html?catalogId=58070e49-ebe1-4e3e-b6f3-e051e4718e07&amp;transactCode=&amp;record=istrue" </w:instrText>
      </w:r>
      <w:r>
        <w:rPr>
          <w:rFonts w:hint="eastAsia" w:ascii="方正仿宋_GBK" w:hAnsi="方正仿宋_GBK" w:eastAsia="方正仿宋_GBK" w:cs="方正仿宋_GBK"/>
          <w:b w:val="0"/>
          <w:bCs w:val="0"/>
          <w:color w:val="auto"/>
          <w:sz w:val="32"/>
          <w:szCs w:val="32"/>
          <w:highlight w:val="none"/>
          <w:lang w:val="en-US" w:eastAsia="zh-CN"/>
        </w:rPr>
        <w:fldChar w:fldCharType="separate"/>
      </w:r>
      <w:r>
        <w:rPr>
          <w:rStyle w:val="12"/>
          <w:rFonts w:hint="eastAsia" w:ascii="方正仿宋_GBK" w:hAnsi="方正仿宋_GBK" w:eastAsia="方正仿宋_GBK" w:cs="方正仿宋_GBK"/>
          <w:b w:val="0"/>
          <w:bCs w:val="0"/>
          <w:color w:val="auto"/>
          <w:kern w:val="2"/>
          <w:sz w:val="32"/>
          <w:szCs w:val="32"/>
          <w:highlight w:val="none"/>
          <w:lang w:val="en-US" w:eastAsia="zh-CN" w:bidi="ar-SA"/>
        </w:rPr>
        <w:t>https://zwykb.cq.gov.cn/v2/bszn.html?catalogId=58070e49-ebe1-4e3e-b6f3-e051e4718e07&amp;transactCode=&amp;record=istrue</w:t>
      </w:r>
      <w:r>
        <w:rPr>
          <w:rFonts w:hint="eastAsia" w:ascii="方正仿宋_GBK" w:hAnsi="方正仿宋_GBK" w:eastAsia="方正仿宋_GBK" w:cs="方正仿宋_GBK"/>
          <w:b w:val="0"/>
          <w:bCs w:val="0"/>
          <w:color w:val="auto"/>
          <w:sz w:val="32"/>
          <w:szCs w:val="32"/>
          <w:highlight w:val="none"/>
          <w:lang w:val="en-US" w:eastAsia="zh-CN"/>
        </w:rPr>
        <w:fldChar w:fldCharType="end"/>
      </w:r>
    </w:p>
    <w:p w14:paraId="44F330B6">
      <w:pPr>
        <w:spacing w:line="600" w:lineRule="atLeast"/>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rPr>
        <w:drawing>
          <wp:inline distT="0" distB="0" distL="114300" distR="114300">
            <wp:extent cx="4319905" cy="2023745"/>
            <wp:effectExtent l="12700" t="12700" r="29845" b="20955"/>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22"/>
                    <a:stretch>
                      <a:fillRect/>
                    </a:stretch>
                  </pic:blipFill>
                  <pic:spPr>
                    <a:xfrm>
                      <a:off x="0" y="0"/>
                      <a:ext cx="4319905" cy="2023745"/>
                    </a:xfrm>
                    <a:prstGeom prst="rect">
                      <a:avLst/>
                    </a:prstGeom>
                    <a:noFill/>
                    <a:ln w="12700">
                      <a:solidFill>
                        <a:schemeClr val="tx1"/>
                      </a:solidFill>
                    </a:ln>
                  </pic:spPr>
                </pic:pic>
              </a:graphicData>
            </a:graphic>
          </wp:inline>
        </w:drawing>
      </w:r>
    </w:p>
    <w:p w14:paraId="52A66781">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2）一般工业固体废物转移出重庆市区域利用的，产生单位完成备案手续。</w:t>
      </w:r>
    </w:p>
    <w:p w14:paraId="66874C7B">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固体废物跨省利用备案地址（重庆市网上办事大厅）：</w:t>
      </w:r>
    </w:p>
    <w:p w14:paraId="100DA646">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fldChar w:fldCharType="begin"/>
      </w:r>
      <w:r>
        <w:rPr>
          <w:rFonts w:hint="eastAsia" w:ascii="方正仿宋_GBK" w:hAnsi="方正仿宋_GBK" w:eastAsia="方正仿宋_GBK" w:cs="方正仿宋_GBK"/>
          <w:b w:val="0"/>
          <w:bCs w:val="0"/>
          <w:color w:val="auto"/>
          <w:sz w:val="32"/>
          <w:szCs w:val="32"/>
          <w:highlight w:val="none"/>
          <w:lang w:val="en-US" w:eastAsia="zh-CN"/>
        </w:rPr>
        <w:instrText xml:space="preserve"> HYPERLINK "https://zwykb.cq.gov.cn/v2/bszn.html?catalogId=bf9669db-de64-4720-9553-6910f4d9cc2f&amp;transactCode=&amp;record=istrue" </w:instrText>
      </w:r>
      <w:r>
        <w:rPr>
          <w:rFonts w:hint="eastAsia" w:ascii="方正仿宋_GBK" w:hAnsi="方正仿宋_GBK" w:eastAsia="方正仿宋_GBK" w:cs="方正仿宋_GBK"/>
          <w:b w:val="0"/>
          <w:bCs w:val="0"/>
          <w:color w:val="auto"/>
          <w:sz w:val="32"/>
          <w:szCs w:val="32"/>
          <w:highlight w:val="none"/>
          <w:lang w:val="en-US" w:eastAsia="zh-CN"/>
        </w:rPr>
        <w:fldChar w:fldCharType="separate"/>
      </w:r>
      <w:r>
        <w:rPr>
          <w:rStyle w:val="12"/>
          <w:rFonts w:hint="eastAsia" w:ascii="方正仿宋_GBK" w:hAnsi="方正仿宋_GBK" w:eastAsia="方正仿宋_GBK" w:cs="方正仿宋_GBK"/>
          <w:b w:val="0"/>
          <w:bCs w:val="0"/>
          <w:color w:val="auto"/>
          <w:kern w:val="2"/>
          <w:sz w:val="32"/>
          <w:szCs w:val="32"/>
          <w:highlight w:val="none"/>
          <w:lang w:val="en-US" w:eastAsia="zh-CN" w:bidi="ar-SA"/>
        </w:rPr>
        <w:t>https://zwykb.cq.gov.cn/v2/bszn.html?catalogId=bf9669db-de64-4720-9553-6910f4d9cc2f&amp;transactCode=&amp;record=istrue</w:t>
      </w:r>
      <w:r>
        <w:rPr>
          <w:rFonts w:hint="eastAsia" w:ascii="方正仿宋_GBK" w:hAnsi="方正仿宋_GBK" w:eastAsia="方正仿宋_GBK" w:cs="方正仿宋_GBK"/>
          <w:b w:val="0"/>
          <w:bCs w:val="0"/>
          <w:color w:val="auto"/>
          <w:sz w:val="32"/>
          <w:szCs w:val="32"/>
          <w:highlight w:val="none"/>
          <w:lang w:val="en-US" w:eastAsia="zh-CN"/>
        </w:rPr>
        <w:fldChar w:fldCharType="end"/>
      </w:r>
    </w:p>
    <w:p w14:paraId="2AED008B">
      <w:pPr>
        <w:spacing w:line="600" w:lineRule="atLeast"/>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rPr>
        <w:drawing>
          <wp:inline distT="0" distB="0" distL="114300" distR="114300">
            <wp:extent cx="4319905" cy="2013585"/>
            <wp:effectExtent l="12700" t="12700" r="29845" b="31115"/>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23"/>
                    <a:stretch>
                      <a:fillRect/>
                    </a:stretch>
                  </pic:blipFill>
                  <pic:spPr>
                    <a:xfrm>
                      <a:off x="0" y="0"/>
                      <a:ext cx="4319905" cy="2013585"/>
                    </a:xfrm>
                    <a:prstGeom prst="rect">
                      <a:avLst/>
                    </a:prstGeom>
                    <a:noFill/>
                    <a:ln w="12700">
                      <a:solidFill>
                        <a:schemeClr val="tx1"/>
                      </a:solidFill>
                    </a:ln>
                  </pic:spPr>
                </pic:pic>
              </a:graphicData>
            </a:graphic>
          </wp:inline>
        </w:drawing>
      </w:r>
    </w:p>
    <w:p w14:paraId="56D8375E">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（二）达标标准</w:t>
      </w:r>
    </w:p>
    <w:p w14:paraId="0321FB79">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（1）产废单位核实一般工业固体废物利用、处置单位的主体资格和技术能力，在委托合同中载明了一般工业固体废物的转移、处置等信息，并约定了受托方的“处置报告”及“环境污染防治”义务；</w:t>
      </w:r>
    </w:p>
    <w:p w14:paraId="30EE3E7A">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（2）产废单位按法律法规完成一般工业固体废物出重庆市区域贮存、处置或利用的转移手续。</w:t>
      </w:r>
    </w:p>
    <w:p w14:paraId="7E23C986">
      <w:pPr>
        <w:spacing w:line="600" w:lineRule="atLeas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（三）注意事项</w:t>
      </w:r>
    </w:p>
    <w:p w14:paraId="45E9FF49">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受托方不具备利用处置技术能力需要转委托的，需在合同中明确转委托的具体要求。受托方代为找到第三方利用处置单位后，产生单位需要对第三方的主体资格和技术能力进行核实。受托方或第三方利用处置活动结束后，由受托方定期向委托方报告利用处置情况，至少1次/年。</w:t>
      </w:r>
    </w:p>
    <w:p w14:paraId="2AF60122">
      <w:pPr>
        <w:spacing w:line="600" w:lineRule="atLeas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（四）法律依据</w:t>
      </w:r>
    </w:p>
    <w:p w14:paraId="56B1911C">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w:t>
      </w:r>
      <w:r>
        <w:rPr>
          <w:rFonts w:hint="eastAsia" w:ascii="方正仿宋_GBK" w:hAnsi="方正仿宋_GBK" w:eastAsia="方正仿宋_GBK" w:cs="方正仿宋_GBK"/>
          <w:b w:val="0"/>
          <w:bCs w:val="0"/>
          <w:color w:val="auto"/>
          <w:sz w:val="32"/>
          <w:szCs w:val="32"/>
          <w:highlight w:val="none"/>
          <w:lang w:val="en-US" w:eastAsia="en-US"/>
        </w:rPr>
        <w:t>《固废法》第三十七条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产生工业固体废物的单位委托他人运输、利用、处置工业固体废物的，应当对受托方的主体资格和技术能力进行核实，依法签订书面合同，在合同中约定污染防治要求</w:t>
      </w:r>
      <w:r>
        <w:rPr>
          <w:rFonts w:hint="eastAsia" w:ascii="方正仿宋_GBK" w:hAnsi="方正仿宋_GBK" w:eastAsia="方正仿宋_GBK" w:cs="方正仿宋_GBK"/>
          <w:b w:val="0"/>
          <w:bCs w:val="0"/>
          <w:color w:val="auto"/>
          <w:sz w:val="32"/>
          <w:szCs w:val="32"/>
          <w:highlight w:val="none"/>
          <w:lang w:val="en-US" w:eastAsia="zh-CN"/>
        </w:rPr>
        <w:t>；</w:t>
      </w:r>
    </w:p>
    <w:p w14:paraId="0C55C65F">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受托方运输、利用、处置工业固体废物，应当依照有关法律法规的规定和合同约定履行污染防治要求，并将运输、利用、处置情况告知产生工业固体废物的单位</w:t>
      </w:r>
      <w:r>
        <w:rPr>
          <w:rFonts w:hint="eastAsia" w:ascii="方正仿宋_GBK" w:hAnsi="方正仿宋_GBK" w:eastAsia="方正仿宋_GBK" w:cs="方正仿宋_GBK"/>
          <w:b w:val="0"/>
          <w:bCs w:val="0"/>
          <w:color w:val="auto"/>
          <w:sz w:val="32"/>
          <w:szCs w:val="32"/>
          <w:highlight w:val="none"/>
          <w:lang w:val="en-US" w:eastAsia="zh-CN"/>
        </w:rPr>
        <w:t>；</w:t>
      </w:r>
    </w:p>
    <w:p w14:paraId="3ED1976F">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产生工业固体废物的单位违反本条第一款规定的，除依照有关法律法规的规定予以处罚外，还应当与造成环境污染和生态破坏的受托方承担连带责任。</w:t>
      </w:r>
    </w:p>
    <w:p w14:paraId="0D85E69D">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z w:val="32"/>
          <w:szCs w:val="32"/>
          <w:highlight w:val="none"/>
          <w:lang w:val="en-US" w:eastAsia="en-US"/>
        </w:rPr>
        <w:t>《固废法》第二十二条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转移固体废物出省、自治区、直辖市行政区域贮存、处置的，应当向固体废物移出地的省、自治区、直辖市人民政府生态环境主管部门提出申请。移出地的省、自治区、直辖市人民政府生态环境主管部门应当及时商经接受地的省、自治区、直辖市人民政府生态环境主管部门同意后，在规定期限内批准转移该固体废物出省、自治区、直辖市行政区域。未经批准的，不得转移</w:t>
      </w:r>
      <w:r>
        <w:rPr>
          <w:rFonts w:hint="eastAsia" w:ascii="方正仿宋_GBK" w:hAnsi="方正仿宋_GBK" w:eastAsia="方正仿宋_GBK" w:cs="方正仿宋_GBK"/>
          <w:b w:val="0"/>
          <w:bCs w:val="0"/>
          <w:color w:val="auto"/>
          <w:sz w:val="32"/>
          <w:szCs w:val="32"/>
          <w:highlight w:val="none"/>
          <w:lang w:val="en-US" w:eastAsia="zh-CN"/>
        </w:rPr>
        <w:t>；</w:t>
      </w:r>
    </w:p>
    <w:p w14:paraId="09FD50C0">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转移固体废物出省、自治区、直辖市行政区域利用的，应当报固体废物移出地的省、自治区、直辖市人民政府生态环境主管部门备案。移出地的省、自治区、直辖市人民政府生态环境主管部门应当将备案信息通报接受地的省、自治区、直辖市人民政府生态环境主管部门。</w:t>
      </w:r>
    </w:p>
    <w:p w14:paraId="7A035B43">
      <w:pPr>
        <w:spacing w:line="600" w:lineRule="atLeast"/>
        <w:ind w:firstLine="640" w:firstLineChars="200"/>
        <w:jc w:val="both"/>
        <w:rPr>
          <w:rFonts w:hint="eastAsia" w:ascii="方正黑体_GBK" w:hAnsi="方正黑体_GBK" w:eastAsia="方正黑体_GBK" w:cs="方正黑体_GBK"/>
          <w:b w:val="0"/>
          <w:bCs w:val="0"/>
          <w:color w:val="auto"/>
          <w:sz w:val="32"/>
          <w:szCs w:val="32"/>
          <w:highlight w:val="none"/>
          <w:lang w:val="en-US" w:eastAsia="zh-CN"/>
        </w:rPr>
      </w:pPr>
      <w:r>
        <w:rPr>
          <w:rFonts w:hint="eastAsia" w:ascii="方正黑体_GBK" w:hAnsi="方正黑体_GBK" w:eastAsia="方正黑体_GBK" w:cs="方正黑体_GBK"/>
          <w:b w:val="0"/>
          <w:bCs w:val="0"/>
          <w:color w:val="auto"/>
          <w:sz w:val="32"/>
          <w:szCs w:val="32"/>
          <w:highlight w:val="none"/>
          <w:lang w:val="en-US" w:eastAsia="zh-CN"/>
        </w:rPr>
        <w:t>八、产生单位内部管理</w:t>
      </w:r>
    </w:p>
    <w:p w14:paraId="4EAD8E83">
      <w:pPr>
        <w:spacing w:line="600" w:lineRule="atLeast"/>
        <w:ind w:firstLine="640" w:firstLineChars="200"/>
        <w:jc w:val="both"/>
        <w:rPr>
          <w:rFonts w:hint="eastAsia" w:ascii="方正楷体_GBK" w:hAnsi="方正楷体_GBK" w:eastAsia="方正楷体_GBK" w:cs="方正楷体_GBK"/>
          <w:b w:val="0"/>
          <w:bCs w:val="0"/>
          <w:color w:val="auto"/>
          <w:sz w:val="32"/>
          <w:szCs w:val="32"/>
          <w:highlight w:val="none"/>
          <w:lang w:val="en-US" w:eastAsia="en-US"/>
        </w:rPr>
      </w:pPr>
      <w:r>
        <w:rPr>
          <w:rFonts w:hint="eastAsia" w:ascii="方正楷体_GBK" w:hAnsi="方正楷体_GBK" w:eastAsia="方正楷体_GBK" w:cs="方正楷体_GBK"/>
          <w:b w:val="0"/>
          <w:bCs w:val="0"/>
          <w:color w:val="auto"/>
          <w:sz w:val="32"/>
          <w:szCs w:val="32"/>
          <w:highlight w:val="none"/>
          <w:lang w:val="en-US" w:eastAsia="zh-CN"/>
        </w:rPr>
        <w:t>（一）评</w:t>
      </w:r>
      <w:r>
        <w:rPr>
          <w:rFonts w:hint="eastAsia" w:ascii="方正楷体_GBK" w:hAnsi="方正楷体_GBK" w:eastAsia="方正楷体_GBK" w:cs="方正楷体_GBK"/>
          <w:b w:val="0"/>
          <w:bCs w:val="0"/>
          <w:color w:val="auto"/>
          <w:sz w:val="32"/>
          <w:szCs w:val="32"/>
          <w:highlight w:val="none"/>
          <w:lang w:val="en-US" w:eastAsia="en-US"/>
        </w:rPr>
        <w:t>估要点</w:t>
      </w:r>
    </w:p>
    <w:p w14:paraId="6E94DDB8">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en-US"/>
        </w:rPr>
        <w:t>（1）</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建立一般工业固体废物污染环境防治责任制度，明确责任部门及责任人员</w:t>
      </w:r>
      <w:r>
        <w:rPr>
          <w:rFonts w:hint="eastAsia" w:ascii="方正仿宋_GBK" w:hAnsi="方正仿宋_GBK" w:eastAsia="方正仿宋_GBK" w:cs="方正仿宋_GBK"/>
          <w:b w:val="0"/>
          <w:bCs w:val="0"/>
          <w:color w:val="auto"/>
          <w:sz w:val="32"/>
          <w:szCs w:val="32"/>
          <w:highlight w:val="none"/>
          <w:lang w:val="en-US" w:eastAsia="en-US"/>
        </w:rPr>
        <w:t>。</w:t>
      </w:r>
    </w:p>
    <w:p w14:paraId="57C82CDA">
      <w:pPr>
        <w:spacing w:line="600" w:lineRule="atLeast"/>
        <w:ind w:firstLine="640" w:firstLineChars="200"/>
        <w:jc w:val="both"/>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pPr>
      <w:r>
        <w:rPr>
          <w:rFonts w:hint="eastAsia" w:ascii="方正仿宋_GBK" w:hAnsi="方正仿宋_GBK" w:eastAsia="方正仿宋_GBK" w:cs="方正仿宋_GBK"/>
          <w:b w:val="0"/>
          <w:bCs w:val="0"/>
          <w:color w:val="auto"/>
          <w:sz w:val="32"/>
          <w:szCs w:val="32"/>
          <w:highlight w:val="none"/>
          <w:lang w:val="en-US" w:eastAsia="en-US"/>
        </w:rPr>
        <w:t>（2）</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安排固定人员负责一般工业固体废物材料档案管理，包括废物管理台账、委外运输/利用处置合同以及其他与一般工业固体废物污染防治相关材料；</w:t>
      </w:r>
    </w:p>
    <w:p w14:paraId="1ECE1508">
      <w:pPr>
        <w:spacing w:line="600" w:lineRule="atLeast"/>
        <w:ind w:firstLine="640" w:firstLineChars="200"/>
        <w:jc w:val="both"/>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pP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（3）对管理人员和从事一般工业固体废物收集、运输、贮存、利用和处置等工作的人员进行培训；</w:t>
      </w:r>
    </w:p>
    <w:p w14:paraId="386C3E68">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（4）建立一般工业固体废物日常现场检查工作机制，明确日常检查内容、检查时间与频次、检查结果等，对发现的问题及时督促整改。</w:t>
      </w:r>
    </w:p>
    <w:p w14:paraId="1BE80758">
      <w:pPr>
        <w:spacing w:line="600" w:lineRule="atLeast"/>
        <w:ind w:firstLine="640" w:firstLineChars="200"/>
        <w:jc w:val="both"/>
        <w:rPr>
          <w:rFonts w:hint="eastAsia" w:ascii="方正楷体_GBK" w:hAnsi="方正楷体_GBK" w:eastAsia="方正楷体_GBK" w:cs="方正楷体_GBK"/>
          <w:b w:val="0"/>
          <w:bCs w:val="0"/>
          <w:color w:val="auto"/>
          <w:sz w:val="32"/>
          <w:szCs w:val="32"/>
          <w:highlight w:val="none"/>
          <w:lang w:val="en-US" w:eastAsia="en-US"/>
        </w:rPr>
      </w:pPr>
      <w:r>
        <w:rPr>
          <w:rFonts w:hint="eastAsia" w:ascii="方正楷体_GBK" w:hAnsi="方正楷体_GBK" w:eastAsia="方正楷体_GBK" w:cs="方正楷体_GBK"/>
          <w:b w:val="0"/>
          <w:bCs w:val="0"/>
          <w:color w:val="auto"/>
          <w:sz w:val="32"/>
          <w:szCs w:val="32"/>
          <w:highlight w:val="none"/>
          <w:lang w:val="en-US" w:eastAsia="en-US"/>
        </w:rPr>
        <w:t>（二）达标标准</w:t>
      </w:r>
    </w:p>
    <w:p w14:paraId="0CF57F38">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产废单位</w:t>
      </w:r>
      <w:r>
        <w:rPr>
          <w:rFonts w:hint="eastAsia" w:ascii="方正仿宋_GBK" w:hAnsi="方正仿宋_GBK" w:eastAsia="方正仿宋_GBK" w:cs="方正仿宋_GBK"/>
          <w:b w:val="0"/>
          <w:bCs w:val="0"/>
          <w:color w:val="auto"/>
          <w:sz w:val="32"/>
          <w:szCs w:val="32"/>
          <w:highlight w:val="none"/>
          <w:lang w:val="en-US" w:eastAsia="en-US"/>
        </w:rPr>
        <w:t>建立了责任制度，</w:t>
      </w:r>
      <w:r>
        <w:rPr>
          <w:rFonts w:hint="eastAsia" w:ascii="方正仿宋_GBK" w:hAnsi="方正仿宋_GBK" w:eastAsia="方正仿宋_GBK" w:cs="方正仿宋_GBK"/>
          <w:b w:val="0"/>
          <w:bCs w:val="0"/>
          <w:color w:val="auto"/>
          <w:sz w:val="32"/>
          <w:szCs w:val="32"/>
          <w:highlight w:val="none"/>
          <w:lang w:val="en-US" w:eastAsia="zh-CN"/>
        </w:rPr>
        <w:t>责任部门和责任</w:t>
      </w:r>
      <w:r>
        <w:rPr>
          <w:rFonts w:hint="eastAsia" w:ascii="方正仿宋_GBK" w:hAnsi="方正仿宋_GBK" w:eastAsia="方正仿宋_GBK" w:cs="方正仿宋_GBK"/>
          <w:b w:val="0"/>
          <w:bCs w:val="0"/>
          <w:color w:val="auto"/>
          <w:sz w:val="32"/>
          <w:szCs w:val="32"/>
          <w:highlight w:val="none"/>
          <w:lang w:val="en-US" w:eastAsia="en-US"/>
        </w:rPr>
        <w:t>人明确，责任清晰</w:t>
      </w:r>
      <w:r>
        <w:rPr>
          <w:rFonts w:hint="eastAsia" w:ascii="方正仿宋_GBK" w:hAnsi="方正仿宋_GBK" w:eastAsia="方正仿宋_GBK" w:cs="方正仿宋_GBK"/>
          <w:b w:val="0"/>
          <w:bCs w:val="0"/>
          <w:color w:val="auto"/>
          <w:sz w:val="32"/>
          <w:szCs w:val="32"/>
          <w:highlight w:val="none"/>
          <w:lang w:val="en-US" w:eastAsia="zh-CN"/>
        </w:rPr>
        <w:t>，责任</w:t>
      </w:r>
      <w:r>
        <w:rPr>
          <w:rFonts w:hint="eastAsia" w:ascii="方正仿宋_GBK" w:hAnsi="方正仿宋_GBK" w:eastAsia="方正仿宋_GBK" w:cs="方正仿宋_GBK"/>
          <w:b w:val="0"/>
          <w:bCs w:val="0"/>
          <w:color w:val="auto"/>
          <w:sz w:val="32"/>
          <w:szCs w:val="32"/>
          <w:highlight w:val="none"/>
          <w:lang w:val="en-US" w:eastAsia="en-US"/>
        </w:rPr>
        <w:t>人</w:t>
      </w:r>
      <w:r>
        <w:rPr>
          <w:rFonts w:hint="eastAsia" w:ascii="方正仿宋_GBK" w:hAnsi="方正仿宋_GBK" w:eastAsia="方正仿宋_GBK" w:cs="方正仿宋_GBK"/>
          <w:b w:val="0"/>
          <w:bCs w:val="0"/>
          <w:color w:val="auto"/>
          <w:sz w:val="32"/>
          <w:szCs w:val="32"/>
          <w:highlight w:val="none"/>
          <w:lang w:val="en-US" w:eastAsia="zh-CN"/>
        </w:rPr>
        <w:t>熟悉一般工业</w:t>
      </w:r>
      <w:r>
        <w:rPr>
          <w:rFonts w:hint="eastAsia" w:ascii="方正仿宋_GBK" w:hAnsi="方正仿宋_GBK" w:eastAsia="方正仿宋_GBK" w:cs="方正仿宋_GBK"/>
          <w:b w:val="0"/>
          <w:bCs w:val="0"/>
          <w:color w:val="auto"/>
          <w:sz w:val="32"/>
          <w:szCs w:val="32"/>
          <w:highlight w:val="none"/>
          <w:lang w:val="en-US" w:eastAsia="en-US"/>
        </w:rPr>
        <w:t>固体废物管理相关法规、制度、标准</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规范</w:t>
      </w:r>
      <w:r>
        <w:rPr>
          <w:rFonts w:hint="eastAsia" w:ascii="方正仿宋_GBK" w:hAnsi="方正仿宋_GBK" w:eastAsia="方正仿宋_GBK" w:cs="方正仿宋_GBK"/>
          <w:b w:val="0"/>
          <w:bCs w:val="0"/>
          <w:color w:val="auto"/>
          <w:sz w:val="32"/>
          <w:szCs w:val="32"/>
          <w:highlight w:val="none"/>
          <w:lang w:val="en-US" w:eastAsia="zh-CN"/>
        </w:rPr>
        <w:t>；产废单位建立了环境管理人员培训机制，且</w:t>
      </w:r>
      <w:r>
        <w:rPr>
          <w:rFonts w:hint="eastAsia" w:ascii="方正仿宋_GBK" w:hAnsi="方正仿宋_GBK" w:eastAsia="方正仿宋_GBK" w:cs="方正仿宋_GBK"/>
          <w:b w:val="0"/>
          <w:bCs w:val="0"/>
          <w:color w:val="auto"/>
          <w:sz w:val="32"/>
          <w:szCs w:val="32"/>
          <w:highlight w:val="none"/>
          <w:lang w:val="en-US" w:eastAsia="en-US"/>
        </w:rPr>
        <w:t>制度得到</w:t>
      </w:r>
      <w:r>
        <w:rPr>
          <w:rFonts w:hint="eastAsia" w:ascii="方正仿宋_GBK" w:hAnsi="方正仿宋_GBK" w:eastAsia="方正仿宋_GBK" w:cs="方正仿宋_GBK"/>
          <w:b w:val="0"/>
          <w:bCs w:val="0"/>
          <w:color w:val="auto"/>
          <w:sz w:val="32"/>
          <w:szCs w:val="32"/>
          <w:highlight w:val="none"/>
          <w:lang w:val="en-US" w:eastAsia="zh-CN"/>
        </w:rPr>
        <w:t>有效</w:t>
      </w:r>
      <w:r>
        <w:rPr>
          <w:rFonts w:hint="eastAsia" w:ascii="方正仿宋_GBK" w:hAnsi="方正仿宋_GBK" w:eastAsia="方正仿宋_GBK" w:cs="方正仿宋_GBK"/>
          <w:b w:val="0"/>
          <w:bCs w:val="0"/>
          <w:color w:val="auto"/>
          <w:sz w:val="32"/>
          <w:szCs w:val="32"/>
          <w:highlight w:val="none"/>
          <w:lang w:val="en-US" w:eastAsia="en-US"/>
        </w:rPr>
        <w:t>落实</w:t>
      </w:r>
      <w:r>
        <w:rPr>
          <w:rFonts w:hint="eastAsia" w:ascii="方正仿宋_GBK" w:hAnsi="方正仿宋_GBK" w:eastAsia="方正仿宋_GBK" w:cs="方正仿宋_GBK"/>
          <w:b w:val="0"/>
          <w:bCs w:val="0"/>
          <w:color w:val="auto"/>
          <w:sz w:val="32"/>
          <w:szCs w:val="32"/>
          <w:highlight w:val="none"/>
          <w:lang w:val="en-US" w:eastAsia="zh-CN"/>
        </w:rPr>
        <w:t>。</w:t>
      </w:r>
    </w:p>
    <w:p w14:paraId="63ADC145">
      <w:pPr>
        <w:spacing w:line="600" w:lineRule="atLeas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（三）法律依据</w:t>
      </w:r>
    </w:p>
    <w:p w14:paraId="203A28CD">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w:t>
      </w:r>
      <w:r>
        <w:rPr>
          <w:rFonts w:hint="eastAsia" w:ascii="方正仿宋_GBK" w:hAnsi="方正仿宋_GBK" w:eastAsia="方正仿宋_GBK" w:cs="方正仿宋_GBK"/>
          <w:b w:val="0"/>
          <w:bCs w:val="0"/>
          <w:color w:val="auto"/>
          <w:sz w:val="32"/>
          <w:szCs w:val="32"/>
          <w:highlight w:val="none"/>
          <w:lang w:val="en-US" w:eastAsia="en-US"/>
        </w:rPr>
        <w:t>《固废法》第三十六条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r>
        <w:rPr>
          <w:rFonts w:hint="eastAsia" w:ascii="方正仿宋_GBK" w:hAnsi="方正仿宋_GBK" w:eastAsia="方正仿宋_GBK" w:cs="方正仿宋_GBK"/>
          <w:b w:val="0"/>
          <w:bCs w:val="0"/>
          <w:color w:val="auto"/>
          <w:sz w:val="32"/>
          <w:szCs w:val="32"/>
          <w:highlight w:val="none"/>
          <w:lang w:val="en-US" w:eastAsia="zh-CN"/>
        </w:rPr>
        <w:t>；</w:t>
      </w:r>
    </w:p>
    <w:p w14:paraId="17243855">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z w:val="32"/>
          <w:szCs w:val="32"/>
          <w:highlight w:val="none"/>
          <w:lang w:val="en-US" w:eastAsia="en-US"/>
        </w:rPr>
        <w:t>《固废法》第十九条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收集、贮存、运输、利用、处置固体废物的单位和其他生产经营者，应当加强对相关设施、设备和场所的管理和维护，保证其正常运行和使用。</w:t>
      </w:r>
    </w:p>
    <w:p w14:paraId="14628C31">
      <w:pPr>
        <w:spacing w:line="600" w:lineRule="atLeast"/>
        <w:ind w:firstLine="640" w:firstLineChars="200"/>
        <w:jc w:val="both"/>
        <w:rPr>
          <w:rFonts w:hint="eastAsia" w:ascii="方正黑体_GBK" w:hAnsi="方正黑体_GBK" w:eastAsia="方正黑体_GBK" w:cs="方正黑体_GBK"/>
          <w:b w:val="0"/>
          <w:bCs w:val="0"/>
          <w:color w:val="auto"/>
          <w:sz w:val="32"/>
          <w:szCs w:val="32"/>
          <w:highlight w:val="none"/>
          <w:lang w:val="en-US" w:eastAsia="zh-CN"/>
        </w:rPr>
      </w:pPr>
      <w:r>
        <w:rPr>
          <w:rFonts w:hint="eastAsia" w:ascii="方正黑体_GBK" w:hAnsi="方正黑体_GBK" w:eastAsia="方正黑体_GBK" w:cs="方正黑体_GBK"/>
          <w:b w:val="0"/>
          <w:bCs w:val="0"/>
          <w:color w:val="auto"/>
          <w:sz w:val="32"/>
          <w:szCs w:val="32"/>
          <w:highlight w:val="none"/>
          <w:lang w:val="en-US" w:eastAsia="zh-CN"/>
        </w:rPr>
        <w:t>九、信息公开制度</w:t>
      </w:r>
    </w:p>
    <w:p w14:paraId="0DEEB39F">
      <w:pPr>
        <w:spacing w:line="600" w:lineRule="atLeas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（一）评估要点</w:t>
      </w:r>
    </w:p>
    <w:p w14:paraId="22AF2028">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en-US"/>
        </w:rPr>
        <w:t>通过</w:t>
      </w:r>
      <w:r>
        <w:rPr>
          <w:rFonts w:hint="eastAsia" w:ascii="方正仿宋_GBK" w:hAnsi="方正仿宋_GBK" w:eastAsia="方正仿宋_GBK" w:cs="方正仿宋_GBK"/>
          <w:b w:val="0"/>
          <w:bCs w:val="0"/>
          <w:color w:val="auto"/>
          <w:sz w:val="32"/>
          <w:szCs w:val="32"/>
          <w:highlight w:val="none"/>
          <w:lang w:val="en-US" w:eastAsia="zh-CN"/>
        </w:rPr>
        <w:t>“重庆企业环境信息依法披露系统”“重庆市环境信用评价系统”、</w:t>
      </w:r>
      <w:r>
        <w:rPr>
          <w:rFonts w:hint="eastAsia" w:ascii="方正仿宋_GBK" w:hAnsi="方正仿宋_GBK" w:eastAsia="方正仿宋_GBK" w:cs="方正仿宋_GBK"/>
          <w:b w:val="0"/>
          <w:bCs w:val="0"/>
          <w:color w:val="auto"/>
          <w:sz w:val="32"/>
          <w:szCs w:val="32"/>
          <w:highlight w:val="none"/>
          <w:lang w:val="en-US" w:eastAsia="en-US"/>
        </w:rPr>
        <w:t>企业</w:t>
      </w:r>
      <w:r>
        <w:rPr>
          <w:rFonts w:hint="eastAsia" w:ascii="方正仿宋_GBK" w:hAnsi="方正仿宋_GBK" w:eastAsia="方正仿宋_GBK" w:cs="方正仿宋_GBK"/>
          <w:b w:val="0"/>
          <w:bCs w:val="0"/>
          <w:color w:val="auto"/>
          <w:sz w:val="32"/>
          <w:szCs w:val="32"/>
          <w:highlight w:val="none"/>
          <w:lang w:val="en-US" w:eastAsia="zh-CN"/>
        </w:rPr>
        <w:t>官网等公开网站，公众号或</w:t>
      </w:r>
      <w:r>
        <w:rPr>
          <w:rFonts w:hint="eastAsia" w:ascii="方正仿宋_GBK" w:hAnsi="方正仿宋_GBK" w:eastAsia="方正仿宋_GBK" w:cs="方正仿宋_GBK"/>
          <w:b w:val="0"/>
          <w:bCs w:val="0"/>
          <w:color w:val="auto"/>
          <w:sz w:val="32"/>
          <w:szCs w:val="32"/>
          <w:highlight w:val="none"/>
          <w:lang w:val="en-US" w:eastAsia="en-US"/>
        </w:rPr>
        <w:t>公告栏等途径，及时</w:t>
      </w:r>
      <w:r>
        <w:rPr>
          <w:rFonts w:hint="eastAsia" w:ascii="方正仿宋_GBK" w:hAnsi="方正仿宋_GBK" w:eastAsia="方正仿宋_GBK" w:cs="方正仿宋_GBK"/>
          <w:b w:val="0"/>
          <w:bCs w:val="0"/>
          <w:color w:val="auto"/>
          <w:sz w:val="32"/>
          <w:szCs w:val="32"/>
          <w:highlight w:val="none"/>
          <w:lang w:val="en-US" w:eastAsia="zh-CN"/>
        </w:rPr>
        <w:t>、准确</w:t>
      </w:r>
      <w:r>
        <w:rPr>
          <w:rFonts w:hint="eastAsia" w:ascii="方正仿宋_GBK" w:hAnsi="方正仿宋_GBK" w:eastAsia="方正仿宋_GBK" w:cs="方正仿宋_GBK"/>
          <w:b w:val="0"/>
          <w:bCs w:val="0"/>
          <w:color w:val="auto"/>
          <w:sz w:val="32"/>
          <w:szCs w:val="32"/>
          <w:highlight w:val="none"/>
          <w:lang w:val="en-US" w:eastAsia="en-US"/>
        </w:rPr>
        <w:t>公开一般工业固体废物产生、贮存、流向和利用处置等信息。</w:t>
      </w:r>
    </w:p>
    <w:p w14:paraId="06DC127F">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1）重庆企业环境信息依法披露系统：</w:t>
      </w:r>
    </w:p>
    <w:p w14:paraId="648E6240">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en-US"/>
        </w:rPr>
        <w:fldChar w:fldCharType="begin"/>
      </w:r>
      <w:r>
        <w:rPr>
          <w:rFonts w:hint="eastAsia" w:ascii="方正仿宋_GBK" w:hAnsi="方正仿宋_GBK" w:eastAsia="方正仿宋_GBK" w:cs="方正仿宋_GBK"/>
          <w:b w:val="0"/>
          <w:bCs w:val="0"/>
          <w:color w:val="auto"/>
          <w:sz w:val="32"/>
          <w:szCs w:val="32"/>
          <w:highlight w:val="none"/>
          <w:lang w:val="en-US" w:eastAsia="en-US"/>
        </w:rPr>
        <w:instrText xml:space="preserve"> HYPERLINK "http://183.66.66.47:10001/eps/index/enterprise-search" </w:instrText>
      </w:r>
      <w:r>
        <w:rPr>
          <w:rFonts w:hint="eastAsia" w:ascii="方正仿宋_GBK" w:hAnsi="方正仿宋_GBK" w:eastAsia="方正仿宋_GBK" w:cs="方正仿宋_GBK"/>
          <w:b w:val="0"/>
          <w:bCs w:val="0"/>
          <w:color w:val="auto"/>
          <w:sz w:val="32"/>
          <w:szCs w:val="32"/>
          <w:highlight w:val="none"/>
          <w:lang w:val="en-US" w:eastAsia="en-US"/>
        </w:rPr>
        <w:fldChar w:fldCharType="separate"/>
      </w:r>
      <w:r>
        <w:rPr>
          <w:rStyle w:val="12"/>
          <w:rFonts w:hint="eastAsia" w:ascii="方正仿宋_GBK" w:hAnsi="方正仿宋_GBK" w:eastAsia="方正仿宋_GBK" w:cs="方正仿宋_GBK"/>
          <w:b w:val="0"/>
          <w:bCs w:val="0"/>
          <w:color w:val="auto"/>
          <w:kern w:val="2"/>
          <w:sz w:val="32"/>
          <w:szCs w:val="32"/>
          <w:highlight w:val="none"/>
          <w:lang w:val="en-US" w:eastAsia="en-US" w:bidi="ar-SA"/>
        </w:rPr>
        <w:t>http://183.66.66.47:10001/eps/index/enterprise-search</w:t>
      </w:r>
      <w:r>
        <w:rPr>
          <w:rFonts w:hint="eastAsia" w:ascii="方正仿宋_GBK" w:hAnsi="方正仿宋_GBK" w:eastAsia="方正仿宋_GBK" w:cs="方正仿宋_GBK"/>
          <w:b w:val="0"/>
          <w:bCs w:val="0"/>
          <w:color w:val="auto"/>
          <w:sz w:val="32"/>
          <w:szCs w:val="32"/>
          <w:highlight w:val="none"/>
          <w:lang w:val="en-US" w:eastAsia="en-US"/>
        </w:rPr>
        <w:fldChar w:fldCharType="end"/>
      </w:r>
    </w:p>
    <w:p w14:paraId="48446C5E">
      <w:pPr>
        <w:spacing w:line="600" w:lineRule="atLeast"/>
        <w:jc w:val="both"/>
        <w:rPr>
          <w:rFonts w:hint="eastAsia" w:ascii="方正仿宋_GBK" w:hAnsi="方正仿宋_GBK" w:eastAsia="方正仿宋_GBK" w:cs="方正仿宋_GBK"/>
          <w:b w:val="0"/>
          <w:bCs w:val="0"/>
          <w:snapToGrid w:val="0"/>
          <w:color w:val="auto"/>
          <w:spacing w:val="-5"/>
          <w:kern w:val="0"/>
          <w:sz w:val="32"/>
          <w:szCs w:val="32"/>
          <w:highlight w:val="none"/>
          <w:lang w:val="en-US" w:eastAsia="en-US" w:bidi="ar-SA"/>
          <w14:ligatures w14:val="standardContextual"/>
        </w:rPr>
      </w:pPr>
      <w:r>
        <w:rPr>
          <w:rFonts w:hint="eastAsia" w:ascii="方正仿宋_GBK" w:hAnsi="方正仿宋_GBK" w:eastAsia="方正仿宋_GBK" w:cs="方正仿宋_GBK"/>
          <w:b w:val="0"/>
          <w:bCs w:val="0"/>
          <w:color w:val="auto"/>
          <w:sz w:val="32"/>
          <w:szCs w:val="32"/>
          <w:highlight w:val="none"/>
        </w:rPr>
        <w:drawing>
          <wp:inline distT="0" distB="0" distL="114300" distR="114300">
            <wp:extent cx="4319905" cy="2557145"/>
            <wp:effectExtent l="12700" t="12700" r="29845" b="20955"/>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pic:cNvPicPr>
                  </pic:nvPicPr>
                  <pic:blipFill>
                    <a:blip r:embed="rId24"/>
                    <a:stretch>
                      <a:fillRect/>
                    </a:stretch>
                  </pic:blipFill>
                  <pic:spPr>
                    <a:xfrm>
                      <a:off x="0" y="0"/>
                      <a:ext cx="4319905" cy="2557145"/>
                    </a:xfrm>
                    <a:prstGeom prst="rect">
                      <a:avLst/>
                    </a:prstGeom>
                    <a:noFill/>
                    <a:ln w="12700">
                      <a:solidFill>
                        <a:schemeClr val="tx1"/>
                      </a:solidFill>
                    </a:ln>
                  </pic:spPr>
                </pic:pic>
              </a:graphicData>
            </a:graphic>
          </wp:inline>
        </w:drawing>
      </w:r>
    </w:p>
    <w:p w14:paraId="17E1D787">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2）重庆市环境信用评价系统：</w:t>
      </w:r>
    </w:p>
    <w:p w14:paraId="42A31F89">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en-US"/>
        </w:rPr>
        <w:fldChar w:fldCharType="begin"/>
      </w:r>
      <w:r>
        <w:rPr>
          <w:rFonts w:hint="eastAsia" w:ascii="方正仿宋_GBK" w:hAnsi="方正仿宋_GBK" w:eastAsia="方正仿宋_GBK" w:cs="方正仿宋_GBK"/>
          <w:b w:val="0"/>
          <w:bCs w:val="0"/>
          <w:color w:val="auto"/>
          <w:sz w:val="32"/>
          <w:szCs w:val="32"/>
          <w:highlight w:val="none"/>
          <w:lang w:val="en-US" w:eastAsia="en-US"/>
        </w:rPr>
        <w:instrText xml:space="preserve"> HYPERLINK "https://system.qyhjxypj.com/home/Sellerlogin/login.html" </w:instrText>
      </w:r>
      <w:r>
        <w:rPr>
          <w:rFonts w:hint="eastAsia" w:ascii="方正仿宋_GBK" w:hAnsi="方正仿宋_GBK" w:eastAsia="方正仿宋_GBK" w:cs="方正仿宋_GBK"/>
          <w:b w:val="0"/>
          <w:bCs w:val="0"/>
          <w:color w:val="auto"/>
          <w:sz w:val="32"/>
          <w:szCs w:val="32"/>
          <w:highlight w:val="none"/>
          <w:lang w:val="en-US" w:eastAsia="en-US"/>
        </w:rPr>
        <w:fldChar w:fldCharType="separate"/>
      </w:r>
      <w:r>
        <w:rPr>
          <w:rStyle w:val="12"/>
          <w:rFonts w:hint="eastAsia" w:ascii="方正仿宋_GBK" w:hAnsi="方正仿宋_GBK" w:eastAsia="方正仿宋_GBK" w:cs="方正仿宋_GBK"/>
          <w:b w:val="0"/>
          <w:bCs w:val="0"/>
          <w:color w:val="auto"/>
          <w:kern w:val="2"/>
          <w:sz w:val="32"/>
          <w:szCs w:val="32"/>
          <w:highlight w:val="none"/>
          <w:lang w:val="en-US" w:eastAsia="en-US" w:bidi="ar-SA"/>
        </w:rPr>
        <w:t>https://system.qyhjxypj.com/home/Sellerlogin/login.html</w:t>
      </w:r>
      <w:r>
        <w:rPr>
          <w:rFonts w:hint="eastAsia" w:ascii="方正仿宋_GBK" w:hAnsi="方正仿宋_GBK" w:eastAsia="方正仿宋_GBK" w:cs="方正仿宋_GBK"/>
          <w:b w:val="0"/>
          <w:bCs w:val="0"/>
          <w:color w:val="auto"/>
          <w:sz w:val="32"/>
          <w:szCs w:val="32"/>
          <w:highlight w:val="none"/>
          <w:lang w:val="en-US" w:eastAsia="en-US"/>
        </w:rPr>
        <w:fldChar w:fldCharType="end"/>
      </w:r>
    </w:p>
    <w:p w14:paraId="3AB689AC">
      <w:pPr>
        <w:spacing w:line="600" w:lineRule="atLeast"/>
        <w:jc w:val="both"/>
        <w:rPr>
          <w:rFonts w:hint="eastAsia" w:ascii="方正仿宋_GBK" w:hAnsi="方正仿宋_GBK" w:eastAsia="方正仿宋_GBK" w:cs="方正仿宋_GBK"/>
          <w:b w:val="0"/>
          <w:bCs w:val="0"/>
          <w:snapToGrid w:val="0"/>
          <w:color w:val="auto"/>
          <w:spacing w:val="-5"/>
          <w:kern w:val="0"/>
          <w:sz w:val="32"/>
          <w:szCs w:val="32"/>
          <w:highlight w:val="none"/>
          <w:lang w:val="en-US" w:eastAsia="en-US" w:bidi="ar-SA"/>
          <w14:ligatures w14:val="standardContextual"/>
        </w:rPr>
      </w:pPr>
      <w:r>
        <w:rPr>
          <w:rFonts w:hint="eastAsia" w:ascii="方正仿宋_GBK" w:hAnsi="方正仿宋_GBK" w:eastAsia="方正仿宋_GBK" w:cs="方正仿宋_GBK"/>
          <w:b w:val="0"/>
          <w:bCs w:val="0"/>
          <w:color w:val="auto"/>
          <w:sz w:val="32"/>
          <w:szCs w:val="32"/>
          <w:highlight w:val="none"/>
        </w:rPr>
        <w:drawing>
          <wp:inline distT="0" distB="0" distL="114300" distR="114300">
            <wp:extent cx="4319905" cy="2528570"/>
            <wp:effectExtent l="12700" t="12700" r="29845" b="30480"/>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25"/>
                    <a:stretch>
                      <a:fillRect/>
                    </a:stretch>
                  </pic:blipFill>
                  <pic:spPr>
                    <a:xfrm>
                      <a:off x="0" y="0"/>
                      <a:ext cx="4319905" cy="2528570"/>
                    </a:xfrm>
                    <a:prstGeom prst="rect">
                      <a:avLst/>
                    </a:prstGeom>
                    <a:noFill/>
                    <a:ln w="12700">
                      <a:solidFill>
                        <a:schemeClr val="tx1"/>
                      </a:solidFill>
                    </a:ln>
                  </pic:spPr>
                </pic:pic>
              </a:graphicData>
            </a:graphic>
          </wp:inline>
        </w:drawing>
      </w:r>
    </w:p>
    <w:p w14:paraId="551AE8AD">
      <w:pPr>
        <w:spacing w:line="600" w:lineRule="atLeas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（二）达标标准</w:t>
      </w:r>
    </w:p>
    <w:p w14:paraId="02796255">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产废单位按规定公开一般工业固体废物的</w:t>
      </w:r>
      <w:r>
        <w:rPr>
          <w:rFonts w:hint="eastAsia" w:ascii="方正仿宋_GBK" w:hAnsi="方正仿宋_GBK" w:eastAsia="方正仿宋_GBK" w:cs="方正仿宋_GBK"/>
          <w:b w:val="0"/>
          <w:bCs w:val="0"/>
          <w:color w:val="auto"/>
          <w:sz w:val="32"/>
          <w:szCs w:val="32"/>
          <w:highlight w:val="none"/>
          <w:lang w:val="en-US" w:eastAsia="en-US"/>
        </w:rPr>
        <w:t>产生、贮存、流向和利用处置等信息</w:t>
      </w:r>
      <w:r>
        <w:rPr>
          <w:rFonts w:hint="eastAsia" w:ascii="方正仿宋_GBK" w:hAnsi="方正仿宋_GBK" w:eastAsia="方正仿宋_GBK" w:cs="方正仿宋_GBK"/>
          <w:b w:val="0"/>
          <w:bCs w:val="0"/>
          <w:color w:val="auto"/>
          <w:sz w:val="32"/>
          <w:szCs w:val="32"/>
          <w:highlight w:val="none"/>
          <w:lang w:val="en-US" w:eastAsia="zh-CN"/>
        </w:rPr>
        <w:t>。</w:t>
      </w:r>
    </w:p>
    <w:p w14:paraId="17C5AC1F">
      <w:pPr>
        <w:spacing w:line="600" w:lineRule="atLeas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（三）法律依据</w:t>
      </w:r>
    </w:p>
    <w:p w14:paraId="1B04D5C9">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《固废法》第二十九条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产生、收集、贮存、运输、利用、处置固体废物的单位，应当依法及时公开固体废物污染环境防治信息，主动接受社会监督</w:t>
      </w:r>
      <w:r>
        <w:rPr>
          <w:rFonts w:hint="eastAsia" w:ascii="方正仿宋_GBK" w:hAnsi="方正仿宋_GBK" w:eastAsia="方正仿宋_GBK" w:cs="方正仿宋_GBK"/>
          <w:b w:val="0"/>
          <w:bCs w:val="0"/>
          <w:color w:val="auto"/>
          <w:sz w:val="32"/>
          <w:szCs w:val="32"/>
          <w:highlight w:val="none"/>
          <w:lang w:val="en-US" w:eastAsia="zh-CN"/>
        </w:rPr>
        <w:t>。</w:t>
      </w:r>
    </w:p>
    <w:p w14:paraId="3A6A68A1">
      <w:pPr>
        <w:keepNext w:val="0"/>
        <w:keepLines w:val="0"/>
        <w:pageBreakBefore w:val="0"/>
        <w:widowControl w:val="0"/>
        <w:tabs>
          <w:tab w:val="left" w:pos="5187"/>
        </w:tabs>
        <w:kinsoku/>
        <w:wordWrap/>
        <w:overflowPunct/>
        <w:topLinePunct w:val="0"/>
        <w:autoSpaceDE/>
        <w:autoSpaceDN/>
        <w:bidi w:val="0"/>
        <w:adjustRightInd/>
        <w:snapToGrid/>
        <w:spacing w:line="600" w:lineRule="atLeast"/>
        <w:ind w:left="0" w:leftChars="0" w:right="0" w:rightChars="0"/>
        <w:jc w:val="left"/>
        <w:textAlignment w:val="auto"/>
        <w:rPr>
          <w:rFonts w:hint="eastAsia" w:ascii="方正仿宋_GBK" w:hAnsi="方正仿宋_GBK" w:eastAsia="方正仿宋_GBK" w:cs="方正仿宋_GBK"/>
          <w:kern w:val="0"/>
          <w:sz w:val="32"/>
          <w:szCs w:val="32"/>
          <w:shd w:val="clear" w:color="auto" w:fill="FFFFFF"/>
          <w:lang w:val="en-US" w:eastAsia="zh-CN" w:bidi="ar-SA"/>
        </w:rPr>
        <w:sectPr>
          <w:headerReference r:id="rId8" w:type="default"/>
          <w:footerReference r:id="rId9" w:type="default"/>
          <w:pgSz w:w="11906" w:h="16838"/>
          <w:pgMar w:top="1962" w:right="1474" w:bottom="1848" w:left="1587" w:header="851" w:footer="992" w:gutter="0"/>
          <w:pgNumType w:fmt="numberInDash"/>
          <w:cols w:space="0" w:num="1"/>
          <w:rtlGutter w:val="0"/>
          <w:docGrid w:type="lines" w:linePitch="316" w:charSpace="0"/>
        </w:sectPr>
      </w:pPr>
    </w:p>
    <w:p w14:paraId="5D2961CB">
      <w:pPr>
        <w:keepNext w:val="0"/>
        <w:keepLines w:val="0"/>
        <w:pageBreakBefore w:val="0"/>
        <w:widowControl w:val="0"/>
        <w:kinsoku w:val="0"/>
        <w:wordWrap/>
        <w:overflowPunct/>
        <w:topLinePunct w:val="0"/>
        <w:autoSpaceDE/>
        <w:autoSpaceDN/>
        <w:bidi w:val="0"/>
        <w:adjustRightInd/>
        <w:snapToGrid w:val="0"/>
        <w:spacing w:before="157" w:beforeLines="50" w:after="313" w:afterLines="100" w:line="226" w:lineRule="auto"/>
        <w:ind w:left="74"/>
        <w:jc w:val="left"/>
        <w:textAlignment w:val="baseline"/>
        <w:rPr>
          <w:rFonts w:hint="eastAsia" w:ascii="方正黑体_GBK" w:hAnsi="方正黑体_GBK" w:eastAsia="方正黑体_GBK" w:cs="方正黑体_GBK"/>
          <w:color w:val="auto"/>
          <w:sz w:val="32"/>
          <w:szCs w:val="32"/>
          <w:highlight w:val="none"/>
          <w:lang w:val="en-US" w:eastAsia="zh-CN"/>
        </w:rPr>
      </w:pPr>
      <w:r>
        <w:rPr>
          <w:rFonts w:hint="eastAsia" w:ascii="方正黑体_GBK" w:hAnsi="方正黑体_GBK" w:eastAsia="方正黑体_GBK" w:cs="方正黑体_GBK"/>
          <w:color w:val="auto"/>
          <w:sz w:val="32"/>
          <w:szCs w:val="32"/>
          <w:highlight w:val="none"/>
          <w:lang w:val="en-US" w:eastAsia="zh-CN"/>
        </w:rPr>
        <w:t>附件4</w:t>
      </w:r>
    </w:p>
    <w:p w14:paraId="285B659D">
      <w:pPr>
        <w:keepNext w:val="0"/>
        <w:keepLines w:val="0"/>
        <w:pageBreakBefore w:val="0"/>
        <w:widowControl w:val="0"/>
        <w:kinsoku w:val="0"/>
        <w:wordWrap/>
        <w:overflowPunct/>
        <w:topLinePunct w:val="0"/>
        <w:autoSpaceDE/>
        <w:autoSpaceDN/>
        <w:bidi w:val="0"/>
        <w:adjustRightInd/>
        <w:snapToGrid w:val="0"/>
        <w:spacing w:before="157" w:beforeLines="50" w:after="313" w:afterLines="100" w:line="600" w:lineRule="atLeast"/>
        <w:ind w:left="74"/>
        <w:jc w:val="center"/>
        <w:textAlignment w:val="baseline"/>
        <w:rPr>
          <w:rFonts w:hint="eastAsia" w:ascii="方正小标宋_GBK" w:hAnsi="方正小标宋_GBK" w:eastAsia="方正小标宋_GBK" w:cs="方正小标宋_GBK"/>
          <w:snapToGrid w:val="0"/>
          <w:color w:val="auto"/>
          <w:spacing w:val="-3"/>
          <w:kern w:val="0"/>
          <w:sz w:val="36"/>
          <w:szCs w:val="36"/>
          <w:highlight w:val="none"/>
          <w:lang w:val="en-US" w:eastAsia="zh-CN"/>
          <w14:ligatures w14:val="none"/>
        </w:rPr>
      </w:pPr>
      <w:r>
        <w:rPr>
          <w:rFonts w:hint="eastAsia" w:ascii="方正小标宋_GBK" w:hAnsi="方正小标宋_GBK" w:eastAsia="方正小标宋_GBK" w:cs="方正小标宋_GBK"/>
          <w:color w:val="auto"/>
          <w:sz w:val="36"/>
          <w:szCs w:val="36"/>
          <w:highlight w:val="none"/>
        </w:rPr>
        <w:t>一般工业固体废物</w:t>
      </w:r>
      <w:r>
        <w:rPr>
          <w:rFonts w:hint="eastAsia" w:ascii="方正小标宋_GBK" w:hAnsi="方正小标宋_GBK" w:eastAsia="方正小标宋_GBK" w:cs="方正小标宋_GBK"/>
          <w:color w:val="auto"/>
          <w:sz w:val="36"/>
          <w:szCs w:val="36"/>
          <w:highlight w:val="none"/>
          <w:lang w:val="en-US" w:eastAsia="zh-CN"/>
        </w:rPr>
        <w:t>台账管理要求及台账</w:t>
      </w:r>
      <w:r>
        <w:rPr>
          <w:rFonts w:hint="eastAsia" w:ascii="方正小标宋_GBK" w:hAnsi="方正小标宋_GBK" w:eastAsia="方正小标宋_GBK" w:cs="方正小标宋_GBK"/>
          <w:color w:val="auto"/>
          <w:sz w:val="36"/>
          <w:szCs w:val="36"/>
          <w:highlight w:val="none"/>
        </w:rPr>
        <w:t>记录</w:t>
      </w:r>
      <w:r>
        <w:rPr>
          <w:rFonts w:hint="eastAsia" w:ascii="方正小标宋_GBK" w:hAnsi="方正小标宋_GBK" w:eastAsia="方正小标宋_GBK" w:cs="方正小标宋_GBK"/>
          <w:color w:val="auto"/>
          <w:sz w:val="36"/>
          <w:szCs w:val="36"/>
          <w:highlight w:val="none"/>
          <w:lang w:val="en-US" w:eastAsia="zh-CN"/>
        </w:rPr>
        <w:t>表</w:t>
      </w:r>
      <w:r>
        <w:rPr>
          <w:rFonts w:hint="eastAsia" w:ascii="方正小标宋_GBK" w:hAnsi="方正小标宋_GBK" w:eastAsia="方正小标宋_GBK" w:cs="方正小标宋_GBK"/>
          <w:color w:val="auto"/>
          <w:sz w:val="36"/>
          <w:szCs w:val="36"/>
          <w:highlight w:val="none"/>
          <w:lang w:eastAsia="zh-CN"/>
        </w:rPr>
        <w:t>（</w:t>
      </w:r>
      <w:r>
        <w:rPr>
          <w:rFonts w:hint="eastAsia" w:ascii="方正小标宋_GBK" w:hAnsi="方正小标宋_GBK" w:eastAsia="方正小标宋_GBK" w:cs="方正小标宋_GBK"/>
          <w:color w:val="auto"/>
          <w:sz w:val="36"/>
          <w:szCs w:val="36"/>
          <w:highlight w:val="none"/>
        </w:rPr>
        <w:t>模板</w:t>
      </w:r>
      <w:r>
        <w:rPr>
          <w:rFonts w:hint="eastAsia" w:ascii="方正小标宋_GBK" w:hAnsi="方正小标宋_GBK" w:eastAsia="方正小标宋_GBK" w:cs="方正小标宋_GBK"/>
          <w:color w:val="auto"/>
          <w:sz w:val="36"/>
          <w:szCs w:val="36"/>
          <w:highlight w:val="none"/>
          <w:lang w:eastAsia="zh-CN"/>
        </w:rPr>
        <w:t>）</w:t>
      </w:r>
    </w:p>
    <w:p w14:paraId="6162E1B3">
      <w:pPr>
        <w:keepNext w:val="0"/>
        <w:keepLines w:val="0"/>
        <w:widowControl w:val="0"/>
        <w:suppressLineNumbers w:val="0"/>
        <w:adjustRightInd/>
        <w:snapToGrid w:val="0"/>
        <w:spacing w:line="600" w:lineRule="atLeast"/>
        <w:ind w:firstLine="640" w:firstLineChars="200"/>
        <w:jc w:val="both"/>
        <w:rPr>
          <w:rFonts w:hint="eastAsia" w:ascii="方正黑体_GBK" w:hAnsi="方正黑体_GBK" w:eastAsia="方正黑体_GBK" w:cs="方正黑体_GBK"/>
          <w:b w:val="0"/>
          <w:bCs w:val="0"/>
          <w:color w:val="auto"/>
          <w:kern w:val="0"/>
          <w:sz w:val="32"/>
          <w:szCs w:val="32"/>
          <w:highlight w:val="none"/>
          <w:lang w:val="en-US" w:eastAsia="zh-CN" w:bidi="ar"/>
          <w14:ligatures w14:val="none"/>
        </w:rPr>
      </w:pPr>
      <w:r>
        <w:rPr>
          <w:rFonts w:hint="eastAsia" w:ascii="方正黑体_GBK" w:hAnsi="方正黑体_GBK" w:eastAsia="方正黑体_GBK" w:cs="方正黑体_GBK"/>
          <w:b w:val="0"/>
          <w:bCs w:val="0"/>
          <w:color w:val="auto"/>
          <w:kern w:val="0"/>
          <w:sz w:val="32"/>
          <w:szCs w:val="32"/>
          <w:highlight w:val="none"/>
          <w:lang w:val="en-US" w:eastAsia="zh-CN" w:bidi="ar"/>
          <w14:ligatures w14:val="none"/>
        </w:rPr>
        <w:t>一、台账管理要求</w:t>
      </w:r>
    </w:p>
    <w:p w14:paraId="19E67F23">
      <w:pPr>
        <w:keepNext w:val="0"/>
        <w:keepLines w:val="0"/>
        <w:pageBreakBefore w:val="0"/>
        <w:widowControl w:val="0"/>
        <w:suppressLineNumbers w:val="0"/>
        <w:kinsoku/>
        <w:wordWrap/>
        <w:overflowPunct/>
        <w:topLinePunct w:val="0"/>
        <w:autoSpaceDE/>
        <w:autoSpaceDN/>
        <w:bidi w:val="0"/>
        <w:adjustRightInd/>
        <w:snapToGrid w:val="0"/>
        <w:spacing w:line="600" w:lineRule="atLeast"/>
        <w:ind w:firstLine="640" w:firstLineChars="200"/>
        <w:jc w:val="both"/>
        <w:textAlignment w:val="auto"/>
        <w:rPr>
          <w:rFonts w:hint="eastAsia" w:ascii="方正仿宋_GBK" w:hAnsi="方正仿宋_GBK" w:eastAsia="方正仿宋_GBK" w:cs="方正仿宋_GBK"/>
          <w:b w:val="0"/>
          <w:bCs w:val="0"/>
          <w:color w:val="auto"/>
          <w:sz w:val="32"/>
          <w:szCs w:val="32"/>
          <w:highlight w:val="none"/>
          <w14:ligatures w14:val="none"/>
        </w:rPr>
      </w:pPr>
      <w:r>
        <w:rPr>
          <w:rFonts w:hint="eastAsia" w:ascii="方正仿宋_GBK" w:hAnsi="方正仿宋_GBK" w:eastAsia="方正仿宋_GBK" w:cs="方正仿宋_GBK"/>
          <w:b w:val="0"/>
          <w:bCs w:val="0"/>
          <w:color w:val="auto"/>
          <w:kern w:val="0"/>
          <w:sz w:val="32"/>
          <w:szCs w:val="32"/>
          <w:highlight w:val="none"/>
          <w:lang w:val="en-US" w:eastAsia="zh-CN" w:bidi="ar"/>
          <w14:ligatures w14:val="none"/>
        </w:rPr>
        <w:t>1.一般工业固体废物管理台账实施分级管理。附表1至附表3为必填信息，主要用于记录固体废物的基础信息及流向信息，所有产废单位均应当填写。附表1按年填写，应当结合环境影响评价、排污许可等材料，根据实际生产运营情况记录固体废物产生信息，生产工艺发生重大变动等原因导致固体废物产生种类等发生变化的，应当及时另行填写附表1；附表2按月填写，记录固体废物的产生、贮存、利用、处置数量和利用、处置方式等信息；附表3按批次填写，每一批次固体废物的出厂以及转移信息均应当如实记录；</w:t>
      </w:r>
    </w:p>
    <w:p w14:paraId="253DFA6F">
      <w:pPr>
        <w:keepNext w:val="0"/>
        <w:keepLines w:val="0"/>
        <w:pageBreakBefore w:val="0"/>
        <w:widowControl w:val="0"/>
        <w:suppressLineNumbers w:val="0"/>
        <w:kinsoku/>
        <w:wordWrap/>
        <w:overflowPunct/>
        <w:topLinePunct w:val="0"/>
        <w:autoSpaceDE/>
        <w:autoSpaceDN/>
        <w:bidi w:val="0"/>
        <w:adjustRightInd/>
        <w:snapToGrid w:val="0"/>
        <w:spacing w:line="600" w:lineRule="atLeast"/>
        <w:ind w:firstLine="640" w:firstLineChars="200"/>
        <w:jc w:val="both"/>
        <w:textAlignment w:val="auto"/>
        <w:rPr>
          <w:rFonts w:hint="eastAsia" w:ascii="方正仿宋_GBK" w:hAnsi="方正仿宋_GBK" w:eastAsia="方正仿宋_GBK" w:cs="方正仿宋_GBK"/>
          <w:b w:val="0"/>
          <w:bCs w:val="0"/>
          <w:color w:val="auto"/>
          <w:sz w:val="32"/>
          <w:szCs w:val="32"/>
          <w:highlight w:val="none"/>
          <w14:ligatures w14:val="none"/>
        </w:rPr>
      </w:pPr>
      <w:r>
        <w:rPr>
          <w:rFonts w:hint="eastAsia" w:ascii="方正仿宋_GBK" w:hAnsi="方正仿宋_GBK" w:eastAsia="方正仿宋_GBK" w:cs="方正仿宋_GBK"/>
          <w:b w:val="0"/>
          <w:bCs w:val="0"/>
          <w:color w:val="auto"/>
          <w:kern w:val="0"/>
          <w:sz w:val="32"/>
          <w:szCs w:val="32"/>
          <w:highlight w:val="none"/>
          <w:lang w:val="en-US" w:eastAsia="zh-CN" w:bidi="ar"/>
          <w14:ligatures w14:val="none"/>
        </w:rPr>
        <w:t>2.附表4至附表7为选填信息，主要用于记录固体废物在产废单位内部的贮存、利用、处置等信息。附表4至附表7，根据地方及企业管理需要填写，省级生态环境主管部门可根据工作需要另行规定具体适用范围和记录要求。填写时应确保固体废物的来源信息、流向信息完整准确；根据固体废物产生周期，可按日或按班次、批次填写；</w:t>
      </w:r>
    </w:p>
    <w:p w14:paraId="7ED74672">
      <w:pPr>
        <w:keepNext w:val="0"/>
        <w:keepLines w:val="0"/>
        <w:pageBreakBefore w:val="0"/>
        <w:widowControl w:val="0"/>
        <w:suppressLineNumbers w:val="0"/>
        <w:kinsoku/>
        <w:wordWrap/>
        <w:overflowPunct/>
        <w:topLinePunct w:val="0"/>
        <w:autoSpaceDE/>
        <w:autoSpaceDN/>
        <w:bidi w:val="0"/>
        <w:adjustRightInd/>
        <w:snapToGrid w:val="0"/>
        <w:spacing w:line="600" w:lineRule="atLeast"/>
        <w:ind w:firstLine="640" w:firstLineChars="200"/>
        <w:jc w:val="both"/>
        <w:textAlignment w:val="auto"/>
        <w:rPr>
          <w:rFonts w:hint="eastAsia" w:ascii="方正仿宋_GBK" w:hAnsi="方正仿宋_GBK" w:eastAsia="方正仿宋_GBK" w:cs="方正仿宋_GBK"/>
          <w:b w:val="0"/>
          <w:bCs w:val="0"/>
          <w:color w:val="auto"/>
          <w:sz w:val="32"/>
          <w:szCs w:val="32"/>
          <w:highlight w:val="none"/>
          <w14:ligatures w14:val="none"/>
        </w:rPr>
      </w:pPr>
      <w:r>
        <w:rPr>
          <w:rFonts w:hint="eastAsia" w:ascii="方正仿宋_GBK" w:hAnsi="方正仿宋_GBK" w:eastAsia="方正仿宋_GBK" w:cs="方正仿宋_GBK"/>
          <w:b w:val="0"/>
          <w:bCs w:val="0"/>
          <w:color w:val="auto"/>
          <w:kern w:val="0"/>
          <w:sz w:val="32"/>
          <w:szCs w:val="32"/>
          <w:highlight w:val="none"/>
          <w:lang w:val="en-US" w:eastAsia="zh-CN" w:bidi="ar"/>
          <w14:ligatures w14:val="none"/>
        </w:rPr>
        <w:t>3.产废单位填写台账记录表时，应当根据自身固体废物产生情况，从</w:t>
      </w:r>
      <w:r>
        <w:rPr>
          <w:rFonts w:hint="eastAsia" w:ascii="方正仿宋_GBK" w:hAnsi="方正仿宋_GBK" w:eastAsia="方正仿宋_GBK" w:cs="方正仿宋_GBK"/>
          <w:b w:val="0"/>
          <w:bCs w:val="0"/>
          <w:color w:val="auto"/>
          <w:sz w:val="32"/>
          <w:szCs w:val="32"/>
          <w:highlight w:val="none"/>
          <w:lang w:val="en-US" w:eastAsia="zh-CN"/>
          <w14:ligatures w14:val="none"/>
        </w:rPr>
        <w:t>《固体废物分类与代码目录》（生态环境部公告2024年第4号）</w:t>
      </w:r>
      <w:r>
        <w:rPr>
          <w:rFonts w:hint="eastAsia" w:ascii="方正仿宋_GBK" w:hAnsi="方正仿宋_GBK" w:eastAsia="方正仿宋_GBK" w:cs="方正仿宋_GBK"/>
          <w:b w:val="0"/>
          <w:bCs w:val="0"/>
          <w:color w:val="auto"/>
          <w:kern w:val="0"/>
          <w:sz w:val="32"/>
          <w:szCs w:val="32"/>
          <w:highlight w:val="none"/>
          <w:lang w:val="en-US" w:eastAsia="zh-CN" w:bidi="ar"/>
          <w14:ligatures w14:val="none"/>
        </w:rPr>
        <w:t>中选择对应的固体废物种类和代码，并根据固体废物种类确定固体废物的具体名称；</w:t>
      </w:r>
    </w:p>
    <w:p w14:paraId="32B034A5">
      <w:pPr>
        <w:keepNext w:val="0"/>
        <w:keepLines w:val="0"/>
        <w:pageBreakBefore w:val="0"/>
        <w:widowControl w:val="0"/>
        <w:suppressLineNumbers w:val="0"/>
        <w:kinsoku/>
        <w:wordWrap/>
        <w:overflowPunct/>
        <w:topLinePunct w:val="0"/>
        <w:autoSpaceDE/>
        <w:autoSpaceDN/>
        <w:bidi w:val="0"/>
        <w:adjustRightInd/>
        <w:snapToGrid w:val="0"/>
        <w:spacing w:line="600" w:lineRule="atLeast"/>
        <w:ind w:firstLine="640" w:firstLineChars="200"/>
        <w:jc w:val="both"/>
        <w:textAlignment w:val="auto"/>
        <w:rPr>
          <w:rFonts w:hint="eastAsia" w:ascii="方正仿宋_GBK" w:hAnsi="方正仿宋_GBK" w:eastAsia="方正仿宋_GBK" w:cs="方正仿宋_GBK"/>
          <w:b w:val="0"/>
          <w:bCs w:val="0"/>
          <w:color w:val="auto"/>
          <w:kern w:val="0"/>
          <w:sz w:val="32"/>
          <w:szCs w:val="32"/>
          <w:highlight w:val="none"/>
          <w:lang w:val="en-US" w:eastAsia="zh-CN" w:bidi="ar"/>
          <w14:ligatures w14:val="none"/>
        </w:rPr>
      </w:pPr>
      <w:r>
        <w:rPr>
          <w:rFonts w:hint="eastAsia" w:ascii="方正仿宋_GBK" w:hAnsi="方正仿宋_GBK" w:eastAsia="方正仿宋_GBK" w:cs="方正仿宋_GBK"/>
          <w:b w:val="0"/>
          <w:bCs w:val="0"/>
          <w:color w:val="auto"/>
          <w:kern w:val="0"/>
          <w:sz w:val="32"/>
          <w:szCs w:val="32"/>
          <w:highlight w:val="none"/>
          <w:lang w:val="en-US" w:eastAsia="zh-CN" w:bidi="ar"/>
          <w14:ligatures w14:val="none"/>
        </w:rPr>
        <w:t>4.产废单位根据自身行业相关要求，应完整、准确记录纸质台账。同时，还应采用国家建立的一般工业固体废物管理电子台账，且地方和企业自行开发的电子台账要实现与国家系统对接。电子台账所载数据应与纸质台账一致；</w:t>
      </w:r>
    </w:p>
    <w:p w14:paraId="3C83A4C6">
      <w:pPr>
        <w:keepNext w:val="0"/>
        <w:keepLines w:val="0"/>
        <w:pageBreakBefore w:val="0"/>
        <w:widowControl w:val="0"/>
        <w:suppressLineNumbers w:val="0"/>
        <w:kinsoku/>
        <w:wordWrap/>
        <w:overflowPunct/>
        <w:topLinePunct w:val="0"/>
        <w:autoSpaceDE/>
        <w:autoSpaceDN/>
        <w:bidi w:val="0"/>
        <w:adjustRightInd/>
        <w:snapToGrid w:val="0"/>
        <w:spacing w:line="600" w:lineRule="atLeast"/>
        <w:ind w:firstLine="640" w:firstLineChars="200"/>
        <w:jc w:val="both"/>
        <w:textAlignment w:val="auto"/>
        <w:rPr>
          <w:rFonts w:hint="eastAsia" w:ascii="方正仿宋_GBK" w:hAnsi="方正仿宋_GBK" w:eastAsia="方正仿宋_GBK" w:cs="方正仿宋_GBK"/>
          <w:b w:val="0"/>
          <w:bCs w:val="0"/>
          <w:color w:val="auto"/>
          <w:sz w:val="32"/>
          <w:szCs w:val="32"/>
          <w:highlight w:val="none"/>
          <w14:ligatures w14:val="none"/>
        </w:rPr>
      </w:pPr>
      <w:r>
        <w:rPr>
          <w:rFonts w:hint="eastAsia" w:ascii="方正仿宋_GBK" w:hAnsi="方正仿宋_GBK" w:eastAsia="方正仿宋_GBK" w:cs="方正仿宋_GBK"/>
          <w:b w:val="0"/>
          <w:bCs w:val="0"/>
          <w:color w:val="auto"/>
          <w:kern w:val="0"/>
          <w:sz w:val="32"/>
          <w:szCs w:val="32"/>
          <w:highlight w:val="none"/>
          <w:lang w:val="en-US" w:eastAsia="zh-CN" w:bidi="ar"/>
          <w14:ligatures w14:val="none"/>
        </w:rPr>
        <w:t>5.台账记录表各表单的负责人对记录信息的真实性、完整性和规范性负责；</w:t>
      </w:r>
    </w:p>
    <w:p w14:paraId="4009FB0F">
      <w:pPr>
        <w:keepNext w:val="0"/>
        <w:keepLines w:val="0"/>
        <w:pageBreakBefore w:val="0"/>
        <w:widowControl w:val="0"/>
        <w:suppressLineNumbers w:val="0"/>
        <w:kinsoku/>
        <w:wordWrap/>
        <w:overflowPunct/>
        <w:topLinePunct w:val="0"/>
        <w:autoSpaceDE/>
        <w:autoSpaceDN/>
        <w:bidi w:val="0"/>
        <w:adjustRightInd/>
        <w:snapToGrid w:val="0"/>
        <w:spacing w:line="600" w:lineRule="atLeast"/>
        <w:ind w:firstLine="640" w:firstLineChars="200"/>
        <w:jc w:val="both"/>
        <w:textAlignment w:val="auto"/>
        <w:rPr>
          <w:rFonts w:hint="eastAsia" w:ascii="方正仿宋_GBK" w:hAnsi="方正仿宋_GBK" w:eastAsia="方正仿宋_GBK" w:cs="方正仿宋_GBK"/>
          <w:b w:val="0"/>
          <w:bCs w:val="0"/>
          <w:color w:val="auto"/>
          <w:sz w:val="32"/>
          <w:szCs w:val="32"/>
          <w:highlight w:val="none"/>
          <w14:ligatures w14:val="none"/>
        </w:rPr>
      </w:pPr>
      <w:r>
        <w:rPr>
          <w:rFonts w:hint="eastAsia" w:ascii="方正仿宋_GBK" w:hAnsi="方正仿宋_GBK" w:eastAsia="方正仿宋_GBK" w:cs="方正仿宋_GBK"/>
          <w:b w:val="0"/>
          <w:bCs w:val="0"/>
          <w:color w:val="auto"/>
          <w:kern w:val="0"/>
          <w:sz w:val="32"/>
          <w:szCs w:val="32"/>
          <w:highlight w:val="none"/>
          <w:lang w:val="en-US" w:eastAsia="zh-CN" w:bidi="ar"/>
          <w14:ligatures w14:val="none"/>
        </w:rPr>
        <w:t>6.产废单位应当设立专人负责台账的管理与归档，一般工业固体废物管理台账保存期限不少于5年；</w:t>
      </w:r>
    </w:p>
    <w:p w14:paraId="36486430">
      <w:pPr>
        <w:keepNext w:val="0"/>
        <w:keepLines w:val="0"/>
        <w:pageBreakBefore w:val="0"/>
        <w:widowControl w:val="0"/>
        <w:kinsoku/>
        <w:wordWrap/>
        <w:overflowPunct/>
        <w:topLinePunct w:val="0"/>
        <w:autoSpaceDE/>
        <w:autoSpaceDN/>
        <w:bidi w:val="0"/>
        <w:adjustRightInd/>
        <w:snapToGrid w:val="0"/>
        <w:spacing w:line="600" w:lineRule="atLeast"/>
        <w:ind w:left="0" w:leftChars="0" w:right="0" w:rightChars="0" w:firstLine="640" w:firstLineChars="200"/>
        <w:jc w:val="both"/>
        <w:textAlignment w:val="auto"/>
        <w:rPr>
          <w:rFonts w:hint="eastAsia" w:ascii="方正仿宋_GBK" w:hAnsi="方正仿宋_GBK" w:eastAsia="方正仿宋_GBK" w:cs="方正仿宋_GBK"/>
          <w:color w:val="auto"/>
          <w:kern w:val="0"/>
          <w:sz w:val="32"/>
          <w:szCs w:val="32"/>
          <w:highlight w:val="none"/>
          <w:shd w:val="clear" w:color="auto" w:fill="auto"/>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14:ligatures w14:val="none"/>
        </w:rPr>
        <w:t>7.鼓励有条件的产废单位在固体废物产生场所、贮存场所及磅秤位置等关键点位设置视频监控，提高台账记录信息的准确性。</w:t>
      </w:r>
    </w:p>
    <w:p w14:paraId="03E2B60D">
      <w:pPr>
        <w:rPr>
          <w:rFonts w:hint="eastAsia" w:ascii="方正仿宋_GBK" w:hAnsi="方正仿宋_GBK" w:eastAsia="方正仿宋_GBK" w:cs="方正仿宋_GBK"/>
          <w:kern w:val="0"/>
          <w:sz w:val="32"/>
          <w:szCs w:val="32"/>
          <w:shd w:val="clear" w:color="auto" w:fill="FFFFFF"/>
          <w:lang w:val="en-US" w:eastAsia="zh-CN" w:bidi="ar-SA"/>
        </w:rPr>
        <w:sectPr>
          <w:pgSz w:w="11906" w:h="16838"/>
          <w:pgMar w:top="1962" w:right="1474" w:bottom="1848" w:left="1587" w:header="851" w:footer="992" w:gutter="0"/>
          <w:pgNumType w:fmt="numberInDash"/>
          <w:cols w:space="0" w:num="1"/>
          <w:rtlGutter w:val="0"/>
          <w:docGrid w:type="lines" w:linePitch="316" w:charSpace="0"/>
        </w:sectPr>
      </w:pPr>
    </w:p>
    <w:p w14:paraId="524661C8">
      <w:pPr>
        <w:keepNext w:val="0"/>
        <w:keepLines w:val="0"/>
        <w:widowControl w:val="0"/>
        <w:suppressLineNumbers w:val="0"/>
        <w:adjustRightInd/>
        <w:snapToGrid w:val="0"/>
        <w:spacing w:line="600" w:lineRule="atLeast"/>
        <w:ind w:firstLine="640" w:firstLineChars="200"/>
        <w:jc w:val="both"/>
        <w:rPr>
          <w:rFonts w:hint="default" w:ascii="方正黑体_GBK" w:hAnsi="方正黑体_GBK" w:eastAsia="方正黑体_GBK" w:cs="方正黑体_GBK"/>
          <w:b w:val="0"/>
          <w:bCs w:val="0"/>
          <w:color w:val="auto"/>
          <w:kern w:val="0"/>
          <w:sz w:val="32"/>
          <w:szCs w:val="32"/>
          <w:highlight w:val="none"/>
          <w:lang w:val="en-US" w:eastAsia="zh-CN" w:bidi="ar"/>
          <w14:ligatures w14:val="none"/>
        </w:rPr>
      </w:pPr>
      <w:r>
        <w:rPr>
          <w:rFonts w:hint="eastAsia" w:ascii="方正黑体_GBK" w:hAnsi="方正黑体_GBK" w:eastAsia="方正黑体_GBK" w:cs="方正黑体_GBK"/>
          <w:b w:val="0"/>
          <w:bCs w:val="0"/>
          <w:color w:val="auto"/>
          <w:kern w:val="0"/>
          <w:sz w:val="32"/>
          <w:szCs w:val="32"/>
          <w:highlight w:val="none"/>
          <w:lang w:val="en-US" w:eastAsia="zh-CN" w:bidi="ar"/>
          <w14:ligatures w14:val="none"/>
        </w:rPr>
        <w:t>二、台账记录表（模板）</w:t>
      </w:r>
    </w:p>
    <w:p w14:paraId="03A97BB8">
      <w:pPr>
        <w:keepNext w:val="0"/>
        <w:keepLines w:val="0"/>
        <w:widowControl w:val="0"/>
        <w:suppressLineNumbers w:val="0"/>
        <w:adjustRightInd/>
        <w:snapToGrid w:val="0"/>
        <w:spacing w:line="600" w:lineRule="atLeast"/>
        <w:jc w:val="both"/>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附表1（必填）</w:t>
      </w:r>
    </w:p>
    <w:p w14:paraId="572B76E3">
      <w:pPr>
        <w:kinsoku w:val="0"/>
        <w:adjustRightInd/>
        <w:snapToGrid w:val="0"/>
        <w:spacing w:beforeLines="0" w:after="317" w:afterLines="100" w:line="600" w:lineRule="atLeast"/>
        <w:ind w:firstLine="0" w:firstLineChars="0"/>
        <w:jc w:val="center"/>
        <w:textAlignment w:val="baseline"/>
        <w:rPr>
          <w:rFonts w:ascii="Times New Roman" w:hAnsi="Times New Roman" w:eastAsia="黑体" w:cs="Times New Roman"/>
          <w:color w:val="auto"/>
          <w:sz w:val="32"/>
          <w:szCs w:val="32"/>
          <w:highlight w:val="none"/>
        </w:rPr>
      </w:pPr>
      <w:r>
        <w:rPr>
          <w:rFonts w:hint="eastAsia" w:ascii="方正黑体_GBK" w:hAnsi="方正黑体_GBK" w:eastAsia="方正黑体_GBK" w:cs="方正黑体_GBK"/>
          <w:color w:val="auto"/>
          <w:sz w:val="32"/>
          <w:szCs w:val="32"/>
          <w:highlight w:val="none"/>
          <w:lang w:eastAsia="en-US"/>
        </w:rPr>
        <w:t>一般工业固体废物产生清单（</w:t>
      </w:r>
      <w:r>
        <w:rPr>
          <w:rFonts w:hint="eastAsia" w:ascii="方正黑体_GBK" w:hAnsi="方正黑体_GBK" w:eastAsia="方正黑体_GBK" w:cs="方正黑体_GBK"/>
          <w:color w:val="auto"/>
          <w:sz w:val="32"/>
          <w:szCs w:val="32"/>
          <w:highlight w:val="none"/>
          <w:lang w:val="en-US" w:eastAsia="zh-CN"/>
        </w:rPr>
        <w:t xml:space="preserve">     </w:t>
      </w:r>
      <w:r>
        <w:rPr>
          <w:rFonts w:hint="eastAsia" w:ascii="方正黑体_GBK" w:hAnsi="方正黑体_GBK" w:eastAsia="方正黑体_GBK" w:cs="方正黑体_GBK"/>
          <w:color w:val="auto"/>
          <w:sz w:val="32"/>
          <w:szCs w:val="32"/>
          <w:highlight w:val="none"/>
          <w:lang w:eastAsia="en-US"/>
        </w:rPr>
        <w:t>年度）</w:t>
      </w:r>
    </w:p>
    <w:p w14:paraId="71F5E2DF">
      <w:pPr>
        <w:widowControl w:val="0"/>
        <w:adjustRightInd/>
        <w:snapToGrid w:val="0"/>
        <w:jc w:val="left"/>
        <w:rPr>
          <w:rFonts w:ascii="Times New Roman" w:hAnsi="Times New Roman" w:eastAsia="方正仿宋_GBK" w:cs="Times New Roman"/>
          <w:color w:val="auto"/>
          <w:highlight w:val="none"/>
        </w:rPr>
      </w:pPr>
      <w:r>
        <w:rPr>
          <w:rFonts w:ascii="Times New Roman" w:hAnsi="Times New Roman" w:eastAsia="方正仿宋_GBK" w:cs="Times New Roman"/>
          <w:color w:val="auto"/>
          <w:kern w:val="0"/>
          <w:szCs w:val="24"/>
          <w:highlight w:val="none"/>
          <w:lang w:bidi="ar"/>
        </w:rPr>
        <w:t xml:space="preserve">负责人签字：            </w:t>
      </w:r>
      <w:r>
        <w:rPr>
          <w:rFonts w:hint="eastAsia" w:ascii="Times New Roman" w:hAnsi="Times New Roman" w:eastAsia="方正仿宋_GBK" w:cs="Times New Roman"/>
          <w:color w:val="auto"/>
          <w:kern w:val="0"/>
          <w:szCs w:val="24"/>
          <w:highlight w:val="none"/>
          <w:lang w:val="en-US" w:eastAsia="zh-CN" w:bidi="ar"/>
        </w:rPr>
        <w:t xml:space="preserve">                   </w:t>
      </w:r>
      <w:r>
        <w:rPr>
          <w:rFonts w:ascii="Times New Roman" w:hAnsi="Times New Roman" w:eastAsia="方正仿宋_GBK" w:cs="Times New Roman"/>
          <w:color w:val="auto"/>
          <w:kern w:val="0"/>
          <w:szCs w:val="24"/>
          <w:highlight w:val="none"/>
          <w:lang w:bidi="ar"/>
        </w:rPr>
        <w:t xml:space="preserve"> </w:t>
      </w:r>
      <w:r>
        <w:rPr>
          <w:rFonts w:hint="eastAsia" w:ascii="Times New Roman" w:hAnsi="Times New Roman" w:eastAsia="方正仿宋_GBK" w:cs="Times New Roman"/>
          <w:color w:val="auto"/>
          <w:kern w:val="0"/>
          <w:szCs w:val="24"/>
          <w:highlight w:val="none"/>
          <w:lang w:val="en-US" w:eastAsia="zh-CN" w:bidi="ar"/>
        </w:rPr>
        <w:t xml:space="preserve">   </w:t>
      </w:r>
      <w:r>
        <w:rPr>
          <w:rFonts w:ascii="Times New Roman" w:hAnsi="Times New Roman" w:eastAsia="方正仿宋_GBK" w:cs="Times New Roman"/>
          <w:color w:val="auto"/>
          <w:kern w:val="0"/>
          <w:szCs w:val="24"/>
          <w:highlight w:val="none"/>
          <w:lang w:bidi="ar"/>
        </w:rPr>
        <w:t xml:space="preserve">填表人签字：            </w:t>
      </w:r>
      <w:r>
        <w:rPr>
          <w:rFonts w:hint="eastAsia" w:ascii="Times New Roman" w:hAnsi="Times New Roman" w:eastAsia="方正仿宋_GBK" w:cs="Times New Roman"/>
          <w:color w:val="auto"/>
          <w:kern w:val="0"/>
          <w:szCs w:val="24"/>
          <w:highlight w:val="none"/>
          <w:lang w:val="en-US" w:eastAsia="zh-CN" w:bidi="ar"/>
        </w:rPr>
        <w:t xml:space="preserve">                   </w:t>
      </w:r>
      <w:r>
        <w:rPr>
          <w:rFonts w:ascii="Times New Roman" w:hAnsi="Times New Roman" w:eastAsia="方正仿宋_GBK" w:cs="Times New Roman"/>
          <w:color w:val="auto"/>
          <w:kern w:val="0"/>
          <w:szCs w:val="24"/>
          <w:highlight w:val="none"/>
          <w:lang w:bidi="ar"/>
        </w:rPr>
        <w:t xml:space="preserve"> </w:t>
      </w:r>
      <w:r>
        <w:rPr>
          <w:rFonts w:hint="eastAsia" w:ascii="Times New Roman" w:hAnsi="Times New Roman" w:eastAsia="方正仿宋_GBK" w:cs="Times New Roman"/>
          <w:color w:val="auto"/>
          <w:kern w:val="0"/>
          <w:szCs w:val="24"/>
          <w:highlight w:val="none"/>
          <w:lang w:val="en-US" w:eastAsia="zh-CN" w:bidi="ar"/>
        </w:rPr>
        <w:t xml:space="preserve">   </w:t>
      </w:r>
      <w:r>
        <w:rPr>
          <w:rFonts w:ascii="Times New Roman" w:hAnsi="Times New Roman" w:eastAsia="方正仿宋_GBK" w:cs="Times New Roman"/>
          <w:color w:val="auto"/>
          <w:kern w:val="0"/>
          <w:szCs w:val="24"/>
          <w:highlight w:val="none"/>
          <w:lang w:bidi="ar"/>
        </w:rPr>
        <w:t>填表日期：</w:t>
      </w:r>
    </w:p>
    <w:tbl>
      <w:tblPr>
        <w:tblStyle w:val="9"/>
        <w:tblpPr w:leftFromText="180" w:rightFromText="180" w:vertAnchor="text" w:horzAnchor="page" w:tblpXSpec="center" w:tblpY="99"/>
        <w:tblOverlap w:val="never"/>
        <w:tblW w:w="13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876"/>
        <w:gridCol w:w="1617"/>
        <w:gridCol w:w="1360"/>
        <w:gridCol w:w="1092"/>
        <w:gridCol w:w="1327"/>
        <w:gridCol w:w="1100"/>
        <w:gridCol w:w="1255"/>
        <w:gridCol w:w="1118"/>
        <w:gridCol w:w="2714"/>
      </w:tblGrid>
      <w:tr w14:paraId="10F63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070" w:type="dxa"/>
            <w:vAlign w:val="center"/>
          </w:tcPr>
          <w:p w14:paraId="015419F8">
            <w:pPr>
              <w:adjustRightInd/>
              <w:snapToGrid w:val="0"/>
              <w:spacing w:line="240" w:lineRule="exact"/>
              <w:jc w:val="center"/>
              <w:rPr>
                <w:rFonts w:ascii="Times New Roman" w:hAnsi="Times New Roman" w:eastAsia="方正仿宋_GBK" w:cs="Times New Roman"/>
                <w:color w:val="auto"/>
                <w:kern w:val="0"/>
                <w:szCs w:val="21"/>
                <w:highlight w:val="none"/>
                <w14:ligatures w14:val="none"/>
              </w:rPr>
            </w:pPr>
            <w:r>
              <w:rPr>
                <w:rFonts w:ascii="Times New Roman" w:hAnsi="Times New Roman" w:eastAsia="方正仿宋_GBK" w:cs="Times New Roman"/>
                <w:color w:val="auto"/>
                <w:kern w:val="0"/>
                <w:szCs w:val="21"/>
                <w:highlight w:val="none"/>
                <w14:ligatures w14:val="none"/>
              </w:rPr>
              <w:t>序号</w:t>
            </w:r>
          </w:p>
        </w:tc>
        <w:tc>
          <w:tcPr>
            <w:tcW w:w="876" w:type="dxa"/>
            <w:vAlign w:val="center"/>
          </w:tcPr>
          <w:p w14:paraId="0A1C086E">
            <w:pPr>
              <w:adjustRightInd/>
              <w:snapToGrid w:val="0"/>
              <w:spacing w:line="240" w:lineRule="exact"/>
              <w:jc w:val="center"/>
              <w:rPr>
                <w:rFonts w:ascii="Times New Roman" w:hAnsi="Times New Roman" w:eastAsia="方正仿宋_GBK" w:cs="Times New Roman"/>
                <w:color w:val="auto"/>
                <w:kern w:val="0"/>
                <w:szCs w:val="21"/>
                <w:highlight w:val="none"/>
                <w14:ligatures w14:val="none"/>
              </w:rPr>
            </w:pPr>
            <w:r>
              <w:rPr>
                <w:rFonts w:hint="eastAsia" w:ascii="Times New Roman" w:hAnsi="Times New Roman" w:eastAsia="方正仿宋_GBK" w:cs="Times New Roman"/>
                <w:color w:val="auto"/>
                <w:kern w:val="0"/>
                <w:szCs w:val="21"/>
                <w:highlight w:val="none"/>
                <w:lang w:val="en-US" w:eastAsia="zh-CN"/>
                <w14:ligatures w14:val="none"/>
              </w:rPr>
              <w:t>种类</w:t>
            </w:r>
          </w:p>
        </w:tc>
        <w:tc>
          <w:tcPr>
            <w:tcW w:w="1617" w:type="dxa"/>
            <w:vAlign w:val="center"/>
          </w:tcPr>
          <w:p w14:paraId="611E70A9">
            <w:pPr>
              <w:adjustRightInd/>
              <w:snapToGrid w:val="0"/>
              <w:spacing w:line="240" w:lineRule="exact"/>
              <w:jc w:val="center"/>
              <w:rPr>
                <w:rFonts w:ascii="Times New Roman" w:hAnsi="Times New Roman" w:eastAsia="方正仿宋_GBK" w:cs="Times New Roman"/>
                <w:color w:val="auto"/>
                <w:kern w:val="0"/>
                <w:szCs w:val="21"/>
                <w:highlight w:val="none"/>
                <w14:ligatures w14:val="none"/>
              </w:rPr>
            </w:pPr>
            <w:r>
              <w:rPr>
                <w:rFonts w:ascii="Times New Roman" w:hAnsi="Times New Roman" w:eastAsia="方正仿宋_GBK" w:cs="Times New Roman"/>
                <w:color w:val="auto"/>
                <w:kern w:val="0"/>
                <w:szCs w:val="21"/>
                <w:highlight w:val="none"/>
                <w14:ligatures w14:val="none"/>
              </w:rPr>
              <w:t>代码</w:t>
            </w:r>
          </w:p>
        </w:tc>
        <w:tc>
          <w:tcPr>
            <w:tcW w:w="1360" w:type="dxa"/>
            <w:vAlign w:val="center"/>
          </w:tcPr>
          <w:p w14:paraId="3B3A1D4C">
            <w:pPr>
              <w:adjustRightInd/>
              <w:snapToGrid w:val="0"/>
              <w:spacing w:line="240" w:lineRule="exact"/>
              <w:jc w:val="center"/>
              <w:rPr>
                <w:rFonts w:ascii="Times New Roman" w:hAnsi="Times New Roman" w:eastAsia="方正仿宋_GBK" w:cs="Times New Roman"/>
                <w:color w:val="auto"/>
                <w:kern w:val="0"/>
                <w:szCs w:val="21"/>
                <w:highlight w:val="none"/>
                <w14:ligatures w14:val="none"/>
              </w:rPr>
            </w:pPr>
            <w:r>
              <w:rPr>
                <w:rFonts w:ascii="Times New Roman" w:hAnsi="Times New Roman" w:eastAsia="方正仿宋_GBK" w:cs="Times New Roman"/>
                <w:color w:val="auto"/>
                <w:kern w:val="0"/>
                <w:szCs w:val="21"/>
                <w:highlight w:val="none"/>
                <w14:ligatures w14:val="none"/>
              </w:rPr>
              <w:t>名称</w:t>
            </w:r>
          </w:p>
        </w:tc>
        <w:tc>
          <w:tcPr>
            <w:tcW w:w="1092" w:type="dxa"/>
            <w:vAlign w:val="center"/>
          </w:tcPr>
          <w:p w14:paraId="16CA157F">
            <w:pPr>
              <w:adjustRightInd/>
              <w:snapToGrid w:val="0"/>
              <w:spacing w:line="240" w:lineRule="exact"/>
              <w:jc w:val="center"/>
              <w:rPr>
                <w:rFonts w:ascii="Times New Roman" w:hAnsi="Times New Roman" w:eastAsia="方正仿宋_GBK" w:cs="Times New Roman"/>
                <w:color w:val="auto"/>
                <w:kern w:val="0"/>
                <w:szCs w:val="21"/>
                <w:highlight w:val="none"/>
                <w14:ligatures w14:val="none"/>
              </w:rPr>
            </w:pPr>
            <w:r>
              <w:rPr>
                <w:rFonts w:ascii="Times New Roman" w:hAnsi="Times New Roman" w:eastAsia="方正仿宋_GBK" w:cs="Times New Roman"/>
                <w:color w:val="auto"/>
                <w:kern w:val="0"/>
                <w:szCs w:val="21"/>
                <w:highlight w:val="none"/>
                <w14:ligatures w14:val="none"/>
              </w:rPr>
              <w:t>类别</w:t>
            </w:r>
          </w:p>
        </w:tc>
        <w:tc>
          <w:tcPr>
            <w:tcW w:w="1327" w:type="dxa"/>
            <w:vAlign w:val="center"/>
          </w:tcPr>
          <w:p w14:paraId="5A6159DF">
            <w:pPr>
              <w:adjustRightInd/>
              <w:snapToGrid w:val="0"/>
              <w:spacing w:line="240" w:lineRule="exact"/>
              <w:jc w:val="center"/>
              <w:rPr>
                <w:rFonts w:ascii="Times New Roman" w:hAnsi="Times New Roman" w:eastAsia="方正仿宋_GBK" w:cs="Times New Roman"/>
                <w:color w:val="auto"/>
                <w:kern w:val="0"/>
                <w:szCs w:val="21"/>
                <w:highlight w:val="none"/>
                <w14:ligatures w14:val="none"/>
              </w:rPr>
            </w:pPr>
            <w:r>
              <w:rPr>
                <w:rFonts w:ascii="Times New Roman" w:hAnsi="Times New Roman" w:eastAsia="方正仿宋_GBK" w:cs="Times New Roman"/>
                <w:color w:val="auto"/>
                <w:kern w:val="0"/>
                <w:szCs w:val="21"/>
                <w:highlight w:val="none"/>
                <w14:ligatures w14:val="none"/>
              </w:rPr>
              <w:t>产生环节</w:t>
            </w:r>
          </w:p>
        </w:tc>
        <w:tc>
          <w:tcPr>
            <w:tcW w:w="1100" w:type="dxa"/>
            <w:vAlign w:val="center"/>
          </w:tcPr>
          <w:p w14:paraId="4FC3ACF2">
            <w:pPr>
              <w:adjustRightInd/>
              <w:snapToGrid w:val="0"/>
              <w:spacing w:line="240" w:lineRule="exact"/>
              <w:jc w:val="center"/>
              <w:rPr>
                <w:rFonts w:ascii="Times New Roman" w:hAnsi="Times New Roman" w:eastAsia="方正仿宋_GBK" w:cs="Times New Roman"/>
                <w:color w:val="auto"/>
                <w:kern w:val="0"/>
                <w:szCs w:val="21"/>
                <w:highlight w:val="none"/>
                <w14:ligatures w14:val="none"/>
              </w:rPr>
            </w:pPr>
            <w:r>
              <w:rPr>
                <w:rFonts w:ascii="Times New Roman" w:hAnsi="Times New Roman" w:eastAsia="方正仿宋_GBK" w:cs="Times New Roman"/>
                <w:color w:val="auto"/>
                <w:kern w:val="0"/>
                <w:szCs w:val="21"/>
                <w:highlight w:val="none"/>
                <w14:ligatures w14:val="none"/>
              </w:rPr>
              <w:t>物理性状</w:t>
            </w:r>
          </w:p>
        </w:tc>
        <w:tc>
          <w:tcPr>
            <w:tcW w:w="1255" w:type="dxa"/>
            <w:vAlign w:val="center"/>
          </w:tcPr>
          <w:p w14:paraId="2DA34883">
            <w:pPr>
              <w:adjustRightInd/>
              <w:snapToGrid w:val="0"/>
              <w:spacing w:line="240" w:lineRule="exact"/>
              <w:jc w:val="center"/>
              <w:rPr>
                <w:rFonts w:ascii="Times New Roman" w:hAnsi="Times New Roman" w:eastAsia="方正仿宋_GBK" w:cs="Times New Roman"/>
                <w:color w:val="auto"/>
                <w:kern w:val="0"/>
                <w:szCs w:val="21"/>
                <w:highlight w:val="none"/>
                <w14:ligatures w14:val="none"/>
              </w:rPr>
            </w:pPr>
            <w:r>
              <w:rPr>
                <w:rFonts w:ascii="Times New Roman" w:hAnsi="Times New Roman" w:eastAsia="方正仿宋_GBK" w:cs="Times New Roman"/>
                <w:color w:val="auto"/>
                <w:kern w:val="0"/>
                <w:szCs w:val="21"/>
                <w:highlight w:val="none"/>
                <w14:ligatures w14:val="none"/>
              </w:rPr>
              <w:t>主要成分</w:t>
            </w:r>
          </w:p>
        </w:tc>
        <w:tc>
          <w:tcPr>
            <w:tcW w:w="1118" w:type="dxa"/>
            <w:vAlign w:val="center"/>
          </w:tcPr>
          <w:p w14:paraId="5D3C10FE">
            <w:pPr>
              <w:adjustRightInd/>
              <w:snapToGrid w:val="0"/>
              <w:spacing w:line="240" w:lineRule="exact"/>
              <w:jc w:val="center"/>
              <w:rPr>
                <w:rFonts w:ascii="Times New Roman" w:hAnsi="Times New Roman" w:eastAsia="方正仿宋_GBK" w:cs="Times New Roman"/>
                <w:color w:val="auto"/>
                <w:kern w:val="0"/>
                <w:szCs w:val="21"/>
                <w:highlight w:val="none"/>
                <w14:ligatures w14:val="none"/>
              </w:rPr>
            </w:pPr>
            <w:r>
              <w:rPr>
                <w:rFonts w:ascii="Times New Roman" w:hAnsi="Times New Roman" w:eastAsia="方正仿宋_GBK" w:cs="Times New Roman"/>
                <w:color w:val="auto"/>
                <w:kern w:val="0"/>
                <w:szCs w:val="21"/>
                <w:highlight w:val="none"/>
                <w14:ligatures w14:val="none"/>
              </w:rPr>
              <w:t>污染特性</w:t>
            </w:r>
          </w:p>
        </w:tc>
        <w:tc>
          <w:tcPr>
            <w:tcW w:w="2714" w:type="dxa"/>
            <w:vAlign w:val="center"/>
          </w:tcPr>
          <w:p w14:paraId="202757E9">
            <w:pPr>
              <w:adjustRightInd/>
              <w:snapToGrid w:val="0"/>
              <w:spacing w:line="240" w:lineRule="exact"/>
              <w:jc w:val="center"/>
              <w:rPr>
                <w:rFonts w:ascii="Times New Roman" w:hAnsi="Times New Roman" w:eastAsia="方正仿宋_GBK" w:cs="Times New Roman"/>
                <w:color w:val="auto"/>
                <w:kern w:val="0"/>
                <w:szCs w:val="21"/>
                <w:highlight w:val="none"/>
                <w14:ligatures w14:val="none"/>
              </w:rPr>
            </w:pPr>
            <w:r>
              <w:rPr>
                <w:rFonts w:ascii="Times New Roman" w:hAnsi="Times New Roman" w:eastAsia="方正仿宋_GBK" w:cs="Times New Roman"/>
                <w:color w:val="auto"/>
                <w:kern w:val="0"/>
                <w:szCs w:val="21"/>
                <w:highlight w:val="none"/>
                <w14:ligatures w14:val="none"/>
              </w:rPr>
              <w:t>产废系数/年产生量</w:t>
            </w:r>
          </w:p>
        </w:tc>
      </w:tr>
      <w:tr w14:paraId="38D70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070" w:type="dxa"/>
            <w:vAlign w:val="center"/>
          </w:tcPr>
          <w:p w14:paraId="108EC8A8">
            <w:pPr>
              <w:widowControl w:val="0"/>
              <w:adjustRightInd/>
              <w:snapToGrid w:val="0"/>
              <w:jc w:val="center"/>
              <w:rPr>
                <w:rFonts w:hint="eastAsia" w:ascii="Times New Roman" w:hAnsi="Times New Roman" w:eastAsia="方正仿宋_GBK" w:cs="Times New Roman"/>
                <w:color w:val="auto"/>
                <w:kern w:val="0"/>
                <w:szCs w:val="21"/>
                <w:highlight w:val="none"/>
                <w:lang w:val="en-US" w:eastAsia="zh-CN" w:bidi="ar"/>
                <w14:ligatures w14:val="none"/>
              </w:rPr>
            </w:pPr>
            <w:r>
              <w:rPr>
                <w:rFonts w:hint="eastAsia" w:ascii="Times New Roman" w:hAnsi="Times New Roman" w:eastAsia="方正仿宋_GBK" w:cs="Times New Roman"/>
                <w:color w:val="auto"/>
                <w:kern w:val="0"/>
                <w:szCs w:val="21"/>
                <w:highlight w:val="none"/>
                <w:lang w:val="en-US" w:eastAsia="zh-CN" w:bidi="ar"/>
                <w14:ligatures w14:val="none"/>
              </w:rPr>
              <w:t>1</w:t>
            </w:r>
          </w:p>
        </w:tc>
        <w:tc>
          <w:tcPr>
            <w:tcW w:w="876" w:type="dxa"/>
            <w:vAlign w:val="center"/>
          </w:tcPr>
          <w:p w14:paraId="528824C6">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617" w:type="dxa"/>
            <w:vAlign w:val="center"/>
          </w:tcPr>
          <w:p w14:paraId="3F0D9681">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360" w:type="dxa"/>
            <w:vAlign w:val="center"/>
          </w:tcPr>
          <w:p w14:paraId="10995392">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092" w:type="dxa"/>
            <w:vAlign w:val="center"/>
          </w:tcPr>
          <w:p w14:paraId="3AB43241">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327" w:type="dxa"/>
            <w:vAlign w:val="center"/>
          </w:tcPr>
          <w:p w14:paraId="1C5A69EB">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100" w:type="dxa"/>
            <w:vAlign w:val="center"/>
          </w:tcPr>
          <w:p w14:paraId="7050C1BB">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255" w:type="dxa"/>
            <w:vAlign w:val="center"/>
          </w:tcPr>
          <w:p w14:paraId="463F0B8B">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118" w:type="dxa"/>
            <w:vAlign w:val="center"/>
          </w:tcPr>
          <w:p w14:paraId="557180A2">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2714" w:type="dxa"/>
            <w:vAlign w:val="center"/>
          </w:tcPr>
          <w:p w14:paraId="268DBA70">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r>
      <w:tr w14:paraId="75E90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070" w:type="dxa"/>
            <w:vAlign w:val="center"/>
          </w:tcPr>
          <w:p w14:paraId="10EC8C05">
            <w:pPr>
              <w:widowControl w:val="0"/>
              <w:adjustRightInd/>
              <w:snapToGrid w:val="0"/>
              <w:jc w:val="center"/>
              <w:rPr>
                <w:rFonts w:hint="default" w:ascii="Times New Roman" w:hAnsi="Times New Roman" w:eastAsia="方正仿宋_GBK" w:cs="Times New Roman"/>
                <w:color w:val="auto"/>
                <w:kern w:val="0"/>
                <w:szCs w:val="21"/>
                <w:highlight w:val="none"/>
                <w:lang w:val="en-US" w:eastAsia="zh-CN" w:bidi="ar"/>
                <w14:ligatures w14:val="none"/>
              </w:rPr>
            </w:pPr>
            <w:r>
              <w:rPr>
                <w:rFonts w:hint="eastAsia" w:ascii="Times New Roman" w:hAnsi="Times New Roman" w:eastAsia="方正仿宋_GBK" w:cs="Times New Roman"/>
                <w:color w:val="auto"/>
                <w:kern w:val="0"/>
                <w:szCs w:val="21"/>
                <w:highlight w:val="none"/>
                <w:lang w:val="en-US" w:eastAsia="zh-CN" w:bidi="ar"/>
                <w14:ligatures w14:val="none"/>
              </w:rPr>
              <w:t>2</w:t>
            </w:r>
          </w:p>
        </w:tc>
        <w:tc>
          <w:tcPr>
            <w:tcW w:w="876" w:type="dxa"/>
            <w:vAlign w:val="center"/>
          </w:tcPr>
          <w:p w14:paraId="76F2C195">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617" w:type="dxa"/>
            <w:vAlign w:val="center"/>
          </w:tcPr>
          <w:p w14:paraId="5A76E794">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360" w:type="dxa"/>
            <w:vAlign w:val="center"/>
          </w:tcPr>
          <w:p w14:paraId="31FF1982">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092" w:type="dxa"/>
            <w:vAlign w:val="center"/>
          </w:tcPr>
          <w:p w14:paraId="74A55A7E">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327" w:type="dxa"/>
            <w:vAlign w:val="center"/>
          </w:tcPr>
          <w:p w14:paraId="1A1FC5B8">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100" w:type="dxa"/>
            <w:vAlign w:val="center"/>
          </w:tcPr>
          <w:p w14:paraId="2EF5B76F">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255" w:type="dxa"/>
            <w:vAlign w:val="center"/>
          </w:tcPr>
          <w:p w14:paraId="32C362E5">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118" w:type="dxa"/>
            <w:vAlign w:val="center"/>
          </w:tcPr>
          <w:p w14:paraId="22264418">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2714" w:type="dxa"/>
            <w:vAlign w:val="center"/>
          </w:tcPr>
          <w:p w14:paraId="1753AB1D">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r>
      <w:tr w14:paraId="6E25D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070" w:type="dxa"/>
            <w:vAlign w:val="center"/>
          </w:tcPr>
          <w:p w14:paraId="036B32F6">
            <w:pPr>
              <w:widowControl w:val="0"/>
              <w:adjustRightInd/>
              <w:snapToGrid w:val="0"/>
              <w:jc w:val="center"/>
              <w:rPr>
                <w:rFonts w:hint="eastAsia" w:ascii="Times New Roman" w:hAnsi="Times New Roman" w:eastAsia="方正仿宋_GBK" w:cs="Times New Roman"/>
                <w:color w:val="auto"/>
                <w:kern w:val="0"/>
                <w:szCs w:val="21"/>
                <w:highlight w:val="none"/>
                <w:lang w:val="en-US" w:eastAsia="zh-CN" w:bidi="ar"/>
                <w14:ligatures w14:val="none"/>
              </w:rPr>
            </w:pPr>
            <w:r>
              <w:rPr>
                <w:rFonts w:hint="eastAsia" w:ascii="Times New Roman" w:hAnsi="Times New Roman" w:eastAsia="方正仿宋_GBK" w:cs="Times New Roman"/>
                <w:color w:val="auto"/>
                <w:kern w:val="0"/>
                <w:szCs w:val="21"/>
                <w:highlight w:val="none"/>
                <w:lang w:val="en-US" w:eastAsia="zh-CN" w:bidi="ar"/>
                <w14:ligatures w14:val="none"/>
              </w:rPr>
              <w:t>...</w:t>
            </w:r>
          </w:p>
        </w:tc>
        <w:tc>
          <w:tcPr>
            <w:tcW w:w="876" w:type="dxa"/>
            <w:vAlign w:val="center"/>
          </w:tcPr>
          <w:p w14:paraId="04440E7B">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617" w:type="dxa"/>
            <w:vAlign w:val="center"/>
          </w:tcPr>
          <w:p w14:paraId="7124DCB7">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360" w:type="dxa"/>
            <w:vAlign w:val="center"/>
          </w:tcPr>
          <w:p w14:paraId="36A77A92">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092" w:type="dxa"/>
            <w:vAlign w:val="center"/>
          </w:tcPr>
          <w:p w14:paraId="7529DE4E">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327" w:type="dxa"/>
            <w:vAlign w:val="center"/>
          </w:tcPr>
          <w:p w14:paraId="232DBA5B">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100" w:type="dxa"/>
            <w:vAlign w:val="center"/>
          </w:tcPr>
          <w:p w14:paraId="1608653C">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255" w:type="dxa"/>
            <w:vAlign w:val="center"/>
          </w:tcPr>
          <w:p w14:paraId="17600185">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118" w:type="dxa"/>
            <w:vAlign w:val="center"/>
          </w:tcPr>
          <w:p w14:paraId="49D33B2D">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2714" w:type="dxa"/>
            <w:vAlign w:val="center"/>
          </w:tcPr>
          <w:p w14:paraId="1EBB86D3">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r>
    </w:tbl>
    <w:p w14:paraId="57C08FD6">
      <w:pPr>
        <w:widowControl w:val="0"/>
        <w:adjustRightInd/>
        <w:snapToGrid w:val="0"/>
        <w:jc w:val="left"/>
        <w:rPr>
          <w:rFonts w:ascii="Times New Roman" w:hAnsi="Times New Roman" w:eastAsia="仿宋_GB2312" w:cs="Times New Roman"/>
          <w:color w:val="auto"/>
          <w:kern w:val="0"/>
          <w:szCs w:val="21"/>
          <w:highlight w:val="none"/>
          <w:lang w:bidi="ar"/>
        </w:rPr>
      </w:pPr>
    </w:p>
    <w:p w14:paraId="5A4AE8C4">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注：</w:t>
      </w:r>
    </w:p>
    <w:p w14:paraId="2AB699A6">
      <w:pPr>
        <w:widowControl w:val="0"/>
        <w:adjustRightInd/>
        <w:snapToGrid w:val="0"/>
        <w:jc w:val="left"/>
        <w:rPr>
          <w:rFonts w:ascii="Times New Roman" w:hAnsi="Times New Roman" w:eastAsia="方正仿宋_GBK" w:cs="Times New Roman"/>
          <w:b/>
          <w:bCs/>
          <w:color w:val="auto"/>
          <w:kern w:val="0"/>
          <w:szCs w:val="21"/>
          <w:highlight w:val="none"/>
          <w:lang w:bidi="ar"/>
        </w:rPr>
      </w:pPr>
      <w:r>
        <w:rPr>
          <w:rFonts w:ascii="Times New Roman" w:hAnsi="Times New Roman" w:eastAsia="方正仿宋_GBK" w:cs="Times New Roman"/>
          <w:b/>
          <w:bCs/>
          <w:color w:val="auto"/>
          <w:kern w:val="0"/>
          <w:szCs w:val="21"/>
          <w:highlight w:val="none"/>
          <w:lang w:bidi="ar"/>
        </w:rPr>
        <w:t>1.代码</w:t>
      </w:r>
      <w:r>
        <w:rPr>
          <w:rFonts w:hint="eastAsia" w:ascii="Times New Roman" w:hAnsi="Times New Roman" w:eastAsia="方正仿宋_GBK" w:cs="Times New Roman"/>
          <w:b/>
          <w:bCs/>
          <w:color w:val="auto"/>
          <w:kern w:val="0"/>
          <w:szCs w:val="21"/>
          <w:highlight w:val="none"/>
          <w:lang w:val="en-US" w:eastAsia="zh-CN" w:bidi="ar"/>
        </w:rPr>
        <w:t>和名称</w:t>
      </w:r>
      <w:r>
        <w:rPr>
          <w:rFonts w:ascii="Times New Roman" w:hAnsi="Times New Roman" w:eastAsia="方正仿宋_GBK" w:cs="Times New Roman"/>
          <w:b/>
          <w:bCs/>
          <w:color w:val="auto"/>
          <w:kern w:val="0"/>
          <w:szCs w:val="21"/>
          <w:highlight w:val="none"/>
          <w:lang w:bidi="ar"/>
        </w:rPr>
        <w:t>：根据实际情况从</w:t>
      </w:r>
      <w:r>
        <w:rPr>
          <w:rFonts w:hint="eastAsia" w:ascii="Times New Roman" w:hAnsi="Times New Roman" w:eastAsia="方正仿宋_GBK" w:cs="Times New Roman"/>
          <w:b/>
          <w:bCs/>
          <w:color w:val="auto"/>
          <w:kern w:val="0"/>
          <w:szCs w:val="21"/>
          <w:highlight w:val="none"/>
          <w:lang w:val="en-US" w:eastAsia="zh-CN" w:bidi="ar"/>
        </w:rPr>
        <w:t>《</w:t>
      </w:r>
      <w:r>
        <w:rPr>
          <w:rFonts w:hint="default" w:ascii="Times New Roman" w:hAnsi="Times New Roman" w:eastAsia="方正仿宋_GBK" w:cs="Times New Roman"/>
          <w:b/>
          <w:bCs/>
          <w:color w:val="auto"/>
          <w:kern w:val="0"/>
          <w:szCs w:val="21"/>
          <w:highlight w:val="none"/>
          <w:lang w:val="en-US" w:eastAsia="zh-CN" w:bidi="ar"/>
        </w:rPr>
        <w:t>固体废物分类与代码目录》</w:t>
      </w:r>
      <w:r>
        <w:rPr>
          <w:rFonts w:hint="eastAsia" w:ascii="Times New Roman" w:hAnsi="Times New Roman" w:eastAsia="方正仿宋_GBK" w:cs="Times New Roman"/>
          <w:b/>
          <w:bCs/>
          <w:color w:val="auto"/>
          <w:kern w:val="0"/>
          <w:szCs w:val="21"/>
          <w:highlight w:val="none"/>
          <w:lang w:val="en-US" w:eastAsia="zh-CN" w:bidi="ar"/>
        </w:rPr>
        <w:t>（</w:t>
      </w:r>
      <w:r>
        <w:rPr>
          <w:rFonts w:hint="default" w:ascii="Times New Roman" w:hAnsi="Times New Roman" w:eastAsia="方正仿宋_GBK" w:cs="Times New Roman"/>
          <w:b/>
          <w:bCs/>
          <w:color w:val="auto"/>
          <w:kern w:val="0"/>
          <w:szCs w:val="21"/>
          <w:highlight w:val="none"/>
          <w:lang w:val="en-US" w:eastAsia="zh-CN" w:bidi="ar"/>
        </w:rPr>
        <w:t>生态环境部公告2024年第4号</w:t>
      </w:r>
      <w:r>
        <w:rPr>
          <w:rFonts w:hint="eastAsia" w:ascii="Times New Roman" w:hAnsi="Times New Roman" w:eastAsia="方正仿宋_GBK" w:cs="Times New Roman"/>
          <w:b/>
          <w:bCs/>
          <w:color w:val="auto"/>
          <w:kern w:val="0"/>
          <w:szCs w:val="21"/>
          <w:highlight w:val="none"/>
          <w:lang w:val="en-US" w:eastAsia="zh-CN" w:bidi="ar"/>
        </w:rPr>
        <w:t>）</w:t>
      </w:r>
      <w:r>
        <w:rPr>
          <w:rFonts w:ascii="Times New Roman" w:hAnsi="Times New Roman" w:eastAsia="方正仿宋_GBK" w:cs="Times New Roman"/>
          <w:b/>
          <w:bCs/>
          <w:color w:val="auto"/>
          <w:kern w:val="0"/>
          <w:szCs w:val="21"/>
          <w:highlight w:val="none"/>
          <w:lang w:bidi="ar"/>
        </w:rPr>
        <w:t>中选择废物种类</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代码</w:t>
      </w:r>
      <w:r>
        <w:rPr>
          <w:rFonts w:hint="eastAsia" w:ascii="Times New Roman" w:hAnsi="Times New Roman" w:eastAsia="方正仿宋_GBK" w:cs="Times New Roman"/>
          <w:b/>
          <w:bCs/>
          <w:color w:val="auto"/>
          <w:kern w:val="0"/>
          <w:szCs w:val="21"/>
          <w:highlight w:val="none"/>
          <w:lang w:val="en-US" w:eastAsia="zh-CN" w:bidi="ar"/>
        </w:rPr>
        <w:t>和名称</w:t>
      </w:r>
      <w:r>
        <w:rPr>
          <w:rFonts w:ascii="Times New Roman" w:hAnsi="Times New Roman" w:eastAsia="方正仿宋_GBK" w:cs="Times New Roman"/>
          <w:b/>
          <w:bCs/>
          <w:color w:val="auto"/>
          <w:kern w:val="0"/>
          <w:szCs w:val="21"/>
          <w:highlight w:val="none"/>
          <w:lang w:bidi="ar"/>
        </w:rPr>
        <w:t>。</w:t>
      </w:r>
    </w:p>
    <w:p w14:paraId="54D8F844">
      <w:pPr>
        <w:widowControl w:val="0"/>
        <w:adjustRightInd/>
        <w:snapToGrid w:val="0"/>
        <w:jc w:val="left"/>
        <w:rPr>
          <w:rFonts w:ascii="Times New Roman" w:hAnsi="Times New Roman" w:eastAsia="方正仿宋_GBK" w:cs="Times New Roman"/>
          <w:b/>
          <w:bCs/>
          <w:color w:val="auto"/>
          <w:highlight w:val="none"/>
        </w:rPr>
      </w:pPr>
      <w:r>
        <w:rPr>
          <w:rFonts w:hint="eastAsia" w:ascii="Times New Roman" w:hAnsi="Times New Roman" w:eastAsia="方正仿宋_GBK" w:cs="Times New Roman"/>
          <w:b/>
          <w:bCs/>
          <w:color w:val="auto"/>
          <w:kern w:val="0"/>
          <w:szCs w:val="21"/>
          <w:highlight w:val="none"/>
          <w:lang w:val="en-US" w:eastAsia="zh-CN" w:bidi="ar"/>
        </w:rPr>
        <w:t>2</w:t>
      </w:r>
      <w:r>
        <w:rPr>
          <w:rFonts w:ascii="Times New Roman" w:hAnsi="Times New Roman" w:eastAsia="方正仿宋_GBK" w:cs="Times New Roman"/>
          <w:b/>
          <w:bCs/>
          <w:color w:val="auto"/>
          <w:kern w:val="0"/>
          <w:szCs w:val="21"/>
          <w:highlight w:val="none"/>
          <w:lang w:bidi="ar"/>
        </w:rPr>
        <w:t>.类别：选择第Ⅰ类一般工业固体废物或第Ⅱ类一般工业固体废物。</w:t>
      </w:r>
    </w:p>
    <w:p w14:paraId="77C97438">
      <w:pPr>
        <w:widowControl w:val="0"/>
        <w:adjustRightInd/>
        <w:snapToGrid w:val="0"/>
        <w:jc w:val="left"/>
        <w:rPr>
          <w:rFonts w:ascii="Times New Roman" w:hAnsi="Times New Roman" w:eastAsia="方正仿宋_GBK" w:cs="Times New Roman"/>
          <w:b/>
          <w:bCs/>
          <w:color w:val="auto"/>
          <w:highlight w:val="none"/>
        </w:rPr>
      </w:pPr>
      <w:r>
        <w:rPr>
          <w:rFonts w:hint="eastAsia" w:ascii="Times New Roman" w:hAnsi="Times New Roman" w:eastAsia="方正仿宋_GBK" w:cs="Times New Roman"/>
          <w:b/>
          <w:bCs/>
          <w:color w:val="auto"/>
          <w:kern w:val="0"/>
          <w:szCs w:val="21"/>
          <w:highlight w:val="none"/>
          <w:lang w:val="en-US" w:eastAsia="zh-CN" w:bidi="ar"/>
        </w:rPr>
        <w:t>3</w:t>
      </w:r>
      <w:r>
        <w:rPr>
          <w:rFonts w:ascii="Times New Roman" w:hAnsi="Times New Roman" w:eastAsia="方正仿宋_GBK" w:cs="Times New Roman"/>
          <w:b/>
          <w:bCs/>
          <w:color w:val="auto"/>
          <w:kern w:val="0"/>
          <w:szCs w:val="21"/>
          <w:highlight w:val="none"/>
          <w:lang w:bidi="ar"/>
        </w:rPr>
        <w:t>.产生环节：说明固体废物的产生来源，例如在某个设施以某种原辅材料生产某种产物时产生的废物，明确产生废物的生产设施编码。</w:t>
      </w:r>
    </w:p>
    <w:p w14:paraId="536A07EF">
      <w:pPr>
        <w:widowControl w:val="0"/>
        <w:adjustRightInd/>
        <w:snapToGrid w:val="0"/>
        <w:jc w:val="left"/>
        <w:rPr>
          <w:rFonts w:ascii="Times New Roman" w:hAnsi="Times New Roman" w:eastAsia="方正仿宋_GBK" w:cs="Times New Roman"/>
          <w:b/>
          <w:bCs/>
          <w:color w:val="auto"/>
          <w:highlight w:val="none"/>
        </w:rPr>
      </w:pPr>
      <w:r>
        <w:rPr>
          <w:rFonts w:hint="eastAsia" w:ascii="Times New Roman" w:hAnsi="Times New Roman" w:eastAsia="方正仿宋_GBK" w:cs="Times New Roman"/>
          <w:b/>
          <w:bCs/>
          <w:color w:val="auto"/>
          <w:kern w:val="0"/>
          <w:szCs w:val="21"/>
          <w:highlight w:val="none"/>
          <w:lang w:val="en-US" w:eastAsia="zh-CN" w:bidi="ar"/>
        </w:rPr>
        <w:t>4</w:t>
      </w:r>
      <w:r>
        <w:rPr>
          <w:rFonts w:ascii="Times New Roman" w:hAnsi="Times New Roman" w:eastAsia="方正仿宋_GBK" w:cs="Times New Roman"/>
          <w:b/>
          <w:bCs/>
          <w:color w:val="auto"/>
          <w:kern w:val="0"/>
          <w:szCs w:val="21"/>
          <w:highlight w:val="none"/>
          <w:lang w:bidi="ar"/>
        </w:rPr>
        <w:t>.物理性状：选择固态</w:t>
      </w:r>
      <w:r>
        <w:rPr>
          <w:rFonts w:hint="eastAsia" w:ascii="Times New Roman" w:hAnsi="Times New Roman" w:eastAsia="方正仿宋_GBK" w:cs="Times New Roman"/>
          <w:b/>
          <w:bCs/>
          <w:color w:val="auto"/>
          <w:kern w:val="0"/>
          <w:szCs w:val="21"/>
          <w:highlight w:val="none"/>
          <w:lang w:val="en-US" w:eastAsia="zh-CN" w:bidi="ar"/>
        </w:rPr>
        <w:t>S</w:t>
      </w:r>
      <w:r>
        <w:rPr>
          <w:rFonts w:ascii="Times New Roman" w:hAnsi="Times New Roman" w:eastAsia="方正仿宋_GBK" w:cs="Times New Roman"/>
          <w:b/>
          <w:bCs/>
          <w:color w:val="auto"/>
          <w:kern w:val="0"/>
          <w:szCs w:val="21"/>
          <w:highlight w:val="none"/>
          <w:lang w:bidi="ar"/>
        </w:rPr>
        <w:t>、半固态</w:t>
      </w:r>
      <w:r>
        <w:rPr>
          <w:rFonts w:hint="eastAsia" w:ascii="Times New Roman" w:hAnsi="Times New Roman" w:eastAsia="方正仿宋_GBK" w:cs="Times New Roman"/>
          <w:b/>
          <w:bCs/>
          <w:color w:val="auto"/>
          <w:kern w:val="0"/>
          <w:szCs w:val="21"/>
          <w:highlight w:val="none"/>
          <w:lang w:val="en-US" w:eastAsia="zh-CN" w:bidi="ar"/>
        </w:rPr>
        <w:t>SS</w:t>
      </w:r>
      <w:r>
        <w:rPr>
          <w:rFonts w:ascii="Times New Roman" w:hAnsi="Times New Roman" w:eastAsia="方正仿宋_GBK" w:cs="Times New Roman"/>
          <w:b/>
          <w:bCs/>
          <w:color w:val="auto"/>
          <w:kern w:val="0"/>
          <w:szCs w:val="21"/>
          <w:highlight w:val="none"/>
          <w:lang w:bidi="ar"/>
        </w:rPr>
        <w:t>、液态</w:t>
      </w:r>
      <w:r>
        <w:rPr>
          <w:rFonts w:hint="eastAsia" w:ascii="Times New Roman" w:hAnsi="Times New Roman" w:eastAsia="方正仿宋_GBK" w:cs="Times New Roman"/>
          <w:b/>
          <w:bCs/>
          <w:color w:val="auto"/>
          <w:kern w:val="0"/>
          <w:szCs w:val="21"/>
          <w:highlight w:val="none"/>
          <w:lang w:val="en-US" w:eastAsia="zh-CN" w:bidi="ar"/>
        </w:rPr>
        <w:t>L</w:t>
      </w:r>
      <w:r>
        <w:rPr>
          <w:rFonts w:ascii="Times New Roman" w:hAnsi="Times New Roman" w:eastAsia="方正仿宋_GBK" w:cs="Times New Roman"/>
          <w:b/>
          <w:bCs/>
          <w:color w:val="auto"/>
          <w:kern w:val="0"/>
          <w:szCs w:val="21"/>
          <w:highlight w:val="none"/>
          <w:lang w:bidi="ar"/>
        </w:rPr>
        <w:t>、气态</w:t>
      </w:r>
      <w:r>
        <w:rPr>
          <w:rFonts w:hint="eastAsia" w:ascii="Times New Roman" w:hAnsi="Times New Roman" w:eastAsia="方正仿宋_GBK" w:cs="Times New Roman"/>
          <w:b/>
          <w:bCs/>
          <w:color w:val="auto"/>
          <w:kern w:val="0"/>
          <w:szCs w:val="21"/>
          <w:highlight w:val="none"/>
          <w:lang w:val="en-US" w:eastAsia="zh-CN" w:bidi="ar"/>
        </w:rPr>
        <w:t>G</w:t>
      </w:r>
      <w:r>
        <w:rPr>
          <w:rFonts w:ascii="Times New Roman" w:hAnsi="Times New Roman" w:eastAsia="方正仿宋_GBK" w:cs="Times New Roman"/>
          <w:b/>
          <w:bCs/>
          <w:color w:val="auto"/>
          <w:kern w:val="0"/>
          <w:szCs w:val="21"/>
          <w:highlight w:val="none"/>
          <w:lang w:bidi="ar"/>
        </w:rPr>
        <w:t>或其他形态。</w:t>
      </w:r>
    </w:p>
    <w:p w14:paraId="2E7EE774">
      <w:pPr>
        <w:widowControl w:val="0"/>
        <w:adjustRightInd/>
        <w:snapToGrid w:val="0"/>
        <w:jc w:val="left"/>
        <w:rPr>
          <w:rFonts w:ascii="Times New Roman" w:hAnsi="Times New Roman" w:eastAsia="方正仿宋_GBK" w:cs="Times New Roman"/>
          <w:b/>
          <w:bCs/>
          <w:color w:val="auto"/>
          <w:highlight w:val="none"/>
        </w:rPr>
      </w:pPr>
      <w:r>
        <w:rPr>
          <w:rFonts w:hint="eastAsia" w:ascii="Times New Roman" w:hAnsi="Times New Roman" w:eastAsia="方正仿宋_GBK" w:cs="Times New Roman"/>
          <w:b/>
          <w:bCs/>
          <w:color w:val="auto"/>
          <w:kern w:val="0"/>
          <w:szCs w:val="21"/>
          <w:highlight w:val="none"/>
          <w:lang w:val="en-US" w:eastAsia="zh-CN" w:bidi="ar"/>
        </w:rPr>
        <w:t>5</w:t>
      </w:r>
      <w:r>
        <w:rPr>
          <w:rFonts w:ascii="Times New Roman" w:hAnsi="Times New Roman" w:eastAsia="方正仿宋_GBK" w:cs="Times New Roman"/>
          <w:b/>
          <w:bCs/>
          <w:color w:val="auto"/>
          <w:kern w:val="0"/>
          <w:szCs w:val="21"/>
          <w:highlight w:val="none"/>
          <w:lang w:bidi="ar"/>
        </w:rPr>
        <w:t>.主要成分：固体废物含有的典型物质成分，如磷石膏的主要成分为硫酸钙。</w:t>
      </w:r>
    </w:p>
    <w:p w14:paraId="21D5F4CE">
      <w:pPr>
        <w:widowControl w:val="0"/>
        <w:adjustRightInd/>
        <w:snapToGrid w:val="0"/>
        <w:jc w:val="left"/>
        <w:rPr>
          <w:rFonts w:ascii="Times New Roman" w:hAnsi="Times New Roman" w:eastAsia="方正仿宋_GBK" w:cs="Times New Roman"/>
          <w:b/>
          <w:bCs/>
          <w:color w:val="auto"/>
          <w:highlight w:val="none"/>
        </w:rPr>
      </w:pPr>
      <w:r>
        <w:rPr>
          <w:rFonts w:hint="eastAsia" w:ascii="Times New Roman" w:hAnsi="Times New Roman" w:eastAsia="方正仿宋_GBK" w:cs="Times New Roman"/>
          <w:b/>
          <w:bCs/>
          <w:color w:val="auto"/>
          <w:kern w:val="0"/>
          <w:szCs w:val="21"/>
          <w:highlight w:val="none"/>
          <w:lang w:val="en-US" w:eastAsia="zh-CN" w:bidi="ar"/>
        </w:rPr>
        <w:t>6</w:t>
      </w:r>
      <w:r>
        <w:rPr>
          <w:rFonts w:ascii="Times New Roman" w:hAnsi="Times New Roman" w:eastAsia="方正仿宋_GBK" w:cs="Times New Roman"/>
          <w:b/>
          <w:bCs/>
          <w:color w:val="auto"/>
          <w:kern w:val="0"/>
          <w:szCs w:val="21"/>
          <w:highlight w:val="none"/>
          <w:lang w:bidi="ar"/>
        </w:rPr>
        <w:t>.污染特性：描述固体废物的特征污染物，以及其释放迁移对大气、水、土壤环境造成的影响。</w:t>
      </w:r>
    </w:p>
    <w:p w14:paraId="2BD8CFA5">
      <w:pPr>
        <w:rPr>
          <w:rFonts w:ascii="Times New Roman" w:hAnsi="Times New Roman" w:eastAsia="方正仿宋_GBK" w:cs="Times New Roman"/>
          <w:b/>
          <w:bCs/>
          <w:color w:val="auto"/>
          <w:kern w:val="0"/>
          <w:szCs w:val="21"/>
          <w:highlight w:val="none"/>
          <w:lang w:bidi="ar"/>
        </w:rPr>
      </w:pPr>
      <w:r>
        <w:rPr>
          <w:rFonts w:hint="eastAsia" w:ascii="Times New Roman" w:hAnsi="Times New Roman" w:eastAsia="方正仿宋_GBK" w:cs="Times New Roman"/>
          <w:b/>
          <w:bCs/>
          <w:color w:val="auto"/>
          <w:kern w:val="0"/>
          <w:szCs w:val="21"/>
          <w:highlight w:val="none"/>
          <w:lang w:val="en-US" w:eastAsia="zh-CN" w:bidi="ar"/>
        </w:rPr>
        <w:t>7</w:t>
      </w:r>
      <w:r>
        <w:rPr>
          <w:rFonts w:ascii="Times New Roman" w:hAnsi="Times New Roman" w:eastAsia="方正仿宋_GBK" w:cs="Times New Roman"/>
          <w:b/>
          <w:bCs/>
          <w:color w:val="auto"/>
          <w:kern w:val="0"/>
          <w:szCs w:val="21"/>
          <w:highlight w:val="none"/>
          <w:lang w:bidi="ar"/>
        </w:rPr>
        <w:t>.产废系数/年产生量：单位产品或单位原料所产生的固体废物量，或者填写固体废物的年度产生量。</w:t>
      </w:r>
    </w:p>
    <w:p w14:paraId="0A4403EA">
      <w:pPr>
        <w:rPr>
          <w:rFonts w:ascii="Times New Roman" w:hAnsi="Times New Roman" w:eastAsia="方正仿宋_GBK" w:cs="Times New Roman"/>
          <w:b/>
          <w:bCs/>
          <w:color w:val="auto"/>
          <w:kern w:val="0"/>
          <w:szCs w:val="21"/>
          <w:highlight w:val="none"/>
          <w:lang w:bidi="ar"/>
        </w:rPr>
      </w:pPr>
      <w:r>
        <w:rPr>
          <w:rFonts w:ascii="Times New Roman" w:hAnsi="Times New Roman" w:eastAsia="方正仿宋_GBK" w:cs="Times New Roman"/>
          <w:b/>
          <w:bCs/>
          <w:color w:val="auto"/>
          <w:kern w:val="0"/>
          <w:szCs w:val="21"/>
          <w:highlight w:val="none"/>
          <w:lang w:bidi="ar"/>
        </w:rPr>
        <w:br w:type="page"/>
      </w:r>
    </w:p>
    <w:p w14:paraId="361874F1">
      <w:pPr>
        <w:keepNext w:val="0"/>
        <w:keepLines w:val="0"/>
        <w:widowControl w:val="0"/>
        <w:suppressLineNumbers w:val="0"/>
        <w:adjustRightInd/>
        <w:snapToGrid w:val="0"/>
        <w:spacing w:line="600" w:lineRule="atLeast"/>
        <w:jc w:val="both"/>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default" w:ascii="方正仿宋_GBK" w:hAnsi="方正仿宋_GBK" w:eastAsia="方正仿宋_GBK" w:cs="方正仿宋_GBK"/>
          <w:b w:val="0"/>
          <w:bCs w:val="0"/>
          <w:color w:val="auto"/>
          <w:kern w:val="0"/>
          <w:sz w:val="32"/>
          <w:szCs w:val="32"/>
          <w:highlight w:val="none"/>
          <w:lang w:val="en-US" w:eastAsia="zh-CN" w:bidi="ar"/>
        </w:rPr>
        <w:t>附表2</w:t>
      </w:r>
      <w:r>
        <w:rPr>
          <w:rFonts w:hint="eastAsia" w:ascii="方正仿宋_GBK" w:hAnsi="方正仿宋_GBK" w:eastAsia="方正仿宋_GBK" w:cs="方正仿宋_GBK"/>
          <w:b w:val="0"/>
          <w:bCs w:val="0"/>
          <w:color w:val="auto"/>
          <w:kern w:val="0"/>
          <w:sz w:val="32"/>
          <w:szCs w:val="32"/>
          <w:highlight w:val="none"/>
          <w:lang w:val="en-US" w:eastAsia="zh-CN" w:bidi="ar"/>
        </w:rPr>
        <w:t>（必填）</w:t>
      </w:r>
    </w:p>
    <w:p w14:paraId="474CCB61">
      <w:pPr>
        <w:keepNext w:val="0"/>
        <w:keepLines w:val="0"/>
        <w:pageBreakBefore w:val="0"/>
        <w:widowControl w:val="0"/>
        <w:kinsoku w:val="0"/>
        <w:wordWrap/>
        <w:overflowPunct/>
        <w:topLinePunct w:val="0"/>
        <w:autoSpaceDE/>
        <w:autoSpaceDN/>
        <w:bidi w:val="0"/>
        <w:adjustRightInd/>
        <w:snapToGrid w:val="0"/>
        <w:spacing w:before="0" w:beforeLines="0" w:after="0" w:afterLines="0" w:line="600" w:lineRule="atLeast"/>
        <w:jc w:val="center"/>
        <w:textAlignment w:val="baseline"/>
        <w:rPr>
          <w:rFonts w:hint="eastAsia" w:ascii="方正黑体_GBK" w:hAnsi="方正黑体_GBK" w:eastAsia="方正黑体_GBK" w:cs="方正黑体_GBK"/>
          <w:color w:val="auto"/>
          <w:sz w:val="32"/>
          <w:szCs w:val="32"/>
          <w:highlight w:val="none"/>
          <w:lang w:eastAsia="en-US"/>
        </w:rPr>
      </w:pPr>
      <w:r>
        <w:rPr>
          <w:rFonts w:hint="eastAsia" w:ascii="方正黑体_GBK" w:hAnsi="方正黑体_GBK" w:eastAsia="方正黑体_GBK" w:cs="方正黑体_GBK"/>
          <w:color w:val="auto"/>
          <w:sz w:val="32"/>
          <w:szCs w:val="32"/>
          <w:highlight w:val="none"/>
          <w:lang w:eastAsia="en-US"/>
        </w:rPr>
        <w:t>一般工业固体废物流向汇总表（</w:t>
      </w:r>
      <w:r>
        <w:rPr>
          <w:rFonts w:hint="eastAsia" w:ascii="方正黑体_GBK" w:hAnsi="方正黑体_GBK" w:eastAsia="方正黑体_GBK" w:cs="方正黑体_GBK"/>
          <w:color w:val="auto"/>
          <w:sz w:val="32"/>
          <w:szCs w:val="32"/>
          <w:highlight w:val="none"/>
          <w:lang w:val="en-US" w:eastAsia="zh-CN"/>
        </w:rPr>
        <w:t xml:space="preserve">     </w:t>
      </w:r>
      <w:r>
        <w:rPr>
          <w:rFonts w:hint="eastAsia" w:ascii="方正黑体_GBK" w:hAnsi="方正黑体_GBK" w:eastAsia="方正黑体_GBK" w:cs="方正黑体_GBK"/>
          <w:color w:val="auto"/>
          <w:sz w:val="32"/>
          <w:szCs w:val="32"/>
          <w:highlight w:val="none"/>
          <w:lang w:eastAsia="en-US"/>
        </w:rPr>
        <w:t>年</w:t>
      </w:r>
      <w:r>
        <w:rPr>
          <w:rFonts w:hint="eastAsia" w:ascii="方正黑体_GBK" w:hAnsi="方正黑体_GBK" w:eastAsia="方正黑体_GBK" w:cs="方正黑体_GBK"/>
          <w:color w:val="auto"/>
          <w:sz w:val="32"/>
          <w:szCs w:val="32"/>
          <w:highlight w:val="none"/>
          <w:lang w:val="en-US" w:eastAsia="zh-CN"/>
        </w:rPr>
        <w:t xml:space="preserve">     </w:t>
      </w:r>
      <w:r>
        <w:rPr>
          <w:rFonts w:hint="eastAsia" w:ascii="方正黑体_GBK" w:hAnsi="方正黑体_GBK" w:eastAsia="方正黑体_GBK" w:cs="方正黑体_GBK"/>
          <w:color w:val="auto"/>
          <w:sz w:val="32"/>
          <w:szCs w:val="32"/>
          <w:highlight w:val="none"/>
          <w:lang w:eastAsia="en-US"/>
        </w:rPr>
        <w:t>月）</w:t>
      </w:r>
    </w:p>
    <w:p w14:paraId="7A8B6516">
      <w:pPr>
        <w:adjustRightInd/>
        <w:snapToGrid w:val="0"/>
        <w:spacing w:line="600" w:lineRule="atLeast"/>
        <w:ind w:firstLine="640" w:firstLineChars="200"/>
        <w:jc w:val="center"/>
        <w:rPr>
          <w:rFonts w:ascii="Times New Roman" w:hAnsi="Times New Roman" w:eastAsia="黑体" w:cs="Times New Roman"/>
          <w:color w:val="auto"/>
          <w:sz w:val="32"/>
          <w:szCs w:val="32"/>
          <w:highlight w:val="none"/>
        </w:rPr>
      </w:pPr>
    </w:p>
    <w:p w14:paraId="02D147BA">
      <w:pPr>
        <w:widowControl w:val="0"/>
        <w:adjustRightInd/>
        <w:snapToGrid w:val="0"/>
        <w:jc w:val="left"/>
        <w:rPr>
          <w:rFonts w:ascii="Times New Roman" w:hAnsi="Times New Roman" w:eastAsia="方正仿宋_GBK" w:cs="Times New Roman"/>
          <w:color w:val="auto"/>
          <w:highlight w:val="none"/>
        </w:rPr>
      </w:pPr>
      <w:r>
        <w:rPr>
          <w:rFonts w:ascii="Times New Roman" w:hAnsi="Times New Roman" w:eastAsia="方正仿宋_GBK" w:cs="Times New Roman"/>
          <w:color w:val="auto"/>
          <w:kern w:val="0"/>
          <w:szCs w:val="24"/>
          <w:highlight w:val="none"/>
          <w:lang w:bidi="ar"/>
        </w:rPr>
        <w:t xml:space="preserve">负责人签字：            </w:t>
      </w:r>
      <w:r>
        <w:rPr>
          <w:rFonts w:hint="eastAsia" w:ascii="Times New Roman" w:hAnsi="Times New Roman" w:eastAsia="方正仿宋_GBK" w:cs="Times New Roman"/>
          <w:color w:val="auto"/>
          <w:kern w:val="0"/>
          <w:szCs w:val="24"/>
          <w:highlight w:val="none"/>
          <w:lang w:val="en-US" w:eastAsia="zh-CN" w:bidi="ar"/>
        </w:rPr>
        <w:t xml:space="preserve">                   </w:t>
      </w:r>
      <w:r>
        <w:rPr>
          <w:rFonts w:ascii="Times New Roman" w:hAnsi="Times New Roman" w:eastAsia="方正仿宋_GBK" w:cs="Times New Roman"/>
          <w:color w:val="auto"/>
          <w:kern w:val="0"/>
          <w:szCs w:val="24"/>
          <w:highlight w:val="none"/>
          <w:lang w:bidi="ar"/>
        </w:rPr>
        <w:t xml:space="preserve"> </w:t>
      </w:r>
      <w:r>
        <w:rPr>
          <w:rFonts w:hint="eastAsia" w:ascii="Times New Roman" w:hAnsi="Times New Roman" w:eastAsia="方正仿宋_GBK" w:cs="Times New Roman"/>
          <w:color w:val="auto"/>
          <w:kern w:val="0"/>
          <w:szCs w:val="24"/>
          <w:highlight w:val="none"/>
          <w:lang w:val="en-US" w:eastAsia="zh-CN" w:bidi="ar"/>
        </w:rPr>
        <w:t xml:space="preserve">   </w:t>
      </w:r>
      <w:r>
        <w:rPr>
          <w:rFonts w:ascii="Times New Roman" w:hAnsi="Times New Roman" w:eastAsia="方正仿宋_GBK" w:cs="Times New Roman"/>
          <w:color w:val="auto"/>
          <w:kern w:val="0"/>
          <w:szCs w:val="24"/>
          <w:highlight w:val="none"/>
          <w:lang w:bidi="ar"/>
        </w:rPr>
        <w:t xml:space="preserve">填表人签字：            </w:t>
      </w:r>
      <w:r>
        <w:rPr>
          <w:rFonts w:hint="eastAsia" w:ascii="Times New Roman" w:hAnsi="Times New Roman" w:eastAsia="方正仿宋_GBK" w:cs="Times New Roman"/>
          <w:color w:val="auto"/>
          <w:kern w:val="0"/>
          <w:szCs w:val="24"/>
          <w:highlight w:val="none"/>
          <w:lang w:val="en-US" w:eastAsia="zh-CN" w:bidi="ar"/>
        </w:rPr>
        <w:t xml:space="preserve">                   </w:t>
      </w:r>
      <w:r>
        <w:rPr>
          <w:rFonts w:ascii="Times New Roman" w:hAnsi="Times New Roman" w:eastAsia="方正仿宋_GBK" w:cs="Times New Roman"/>
          <w:color w:val="auto"/>
          <w:kern w:val="0"/>
          <w:szCs w:val="24"/>
          <w:highlight w:val="none"/>
          <w:lang w:bidi="ar"/>
        </w:rPr>
        <w:t xml:space="preserve"> </w:t>
      </w:r>
      <w:r>
        <w:rPr>
          <w:rFonts w:hint="eastAsia" w:ascii="Times New Roman" w:hAnsi="Times New Roman" w:eastAsia="方正仿宋_GBK" w:cs="Times New Roman"/>
          <w:color w:val="auto"/>
          <w:kern w:val="0"/>
          <w:szCs w:val="24"/>
          <w:highlight w:val="none"/>
          <w:lang w:val="en-US" w:eastAsia="zh-CN" w:bidi="ar"/>
        </w:rPr>
        <w:t xml:space="preserve">   </w:t>
      </w:r>
      <w:r>
        <w:rPr>
          <w:rFonts w:ascii="Times New Roman" w:hAnsi="Times New Roman" w:eastAsia="方正仿宋_GBK" w:cs="Times New Roman"/>
          <w:color w:val="auto"/>
          <w:kern w:val="0"/>
          <w:szCs w:val="24"/>
          <w:highlight w:val="none"/>
          <w:lang w:bidi="ar"/>
        </w:rPr>
        <w:t>填表日期：</w:t>
      </w:r>
    </w:p>
    <w:tbl>
      <w:tblPr>
        <w:tblStyle w:val="9"/>
        <w:tblpPr w:leftFromText="180" w:rightFromText="180" w:vertAnchor="text" w:horzAnchor="page" w:tblpXSpec="center" w:tblpY="99"/>
        <w:tblOverlap w:val="never"/>
        <w:tblW w:w="141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301"/>
        <w:gridCol w:w="1056"/>
        <w:gridCol w:w="717"/>
        <w:gridCol w:w="936"/>
        <w:gridCol w:w="936"/>
        <w:gridCol w:w="936"/>
        <w:gridCol w:w="936"/>
        <w:gridCol w:w="936"/>
        <w:gridCol w:w="936"/>
        <w:gridCol w:w="936"/>
        <w:gridCol w:w="936"/>
        <w:gridCol w:w="936"/>
        <w:gridCol w:w="936"/>
        <w:gridCol w:w="936"/>
      </w:tblGrid>
      <w:tr w14:paraId="5A24B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750" w:type="dxa"/>
            <w:vAlign w:val="center"/>
          </w:tcPr>
          <w:p w14:paraId="09396302">
            <w:pPr>
              <w:adjustRightInd/>
              <w:snapToGrid w:val="0"/>
              <w:spacing w:line="240" w:lineRule="exact"/>
              <w:jc w:val="center"/>
              <w:rPr>
                <w:rFonts w:hint="eastAsia" w:ascii="Times New Roman" w:hAnsi="Times New Roman" w:eastAsia="方正仿宋_GBK" w:cs="Times New Roman"/>
                <w:color w:val="auto"/>
                <w:kern w:val="0"/>
                <w:szCs w:val="21"/>
                <w:highlight w:val="none"/>
                <w:lang w:val="en-US" w:eastAsia="zh-CN"/>
                <w14:ligatures w14:val="none"/>
              </w:rPr>
            </w:pPr>
            <w:r>
              <w:rPr>
                <w:rFonts w:hint="eastAsia" w:ascii="Times New Roman" w:hAnsi="Times New Roman" w:eastAsia="方正仿宋_GBK" w:cs="Times New Roman"/>
                <w:color w:val="auto"/>
                <w:kern w:val="0"/>
                <w:szCs w:val="21"/>
                <w:highlight w:val="none"/>
                <w:lang w:val="en-US" w:eastAsia="zh-CN"/>
                <w14:ligatures w14:val="none"/>
              </w:rPr>
              <w:t>种类</w:t>
            </w:r>
          </w:p>
        </w:tc>
        <w:tc>
          <w:tcPr>
            <w:tcW w:w="1301" w:type="dxa"/>
            <w:vAlign w:val="center"/>
          </w:tcPr>
          <w:p w14:paraId="3CA8AA6D">
            <w:pPr>
              <w:adjustRightInd/>
              <w:snapToGrid w:val="0"/>
              <w:spacing w:line="240" w:lineRule="exact"/>
              <w:jc w:val="center"/>
              <w:rPr>
                <w:rFonts w:hint="eastAsia" w:ascii="Times New Roman" w:hAnsi="Times New Roman" w:eastAsia="方正仿宋_GBK" w:cs="Times New Roman"/>
                <w:color w:val="auto"/>
                <w:kern w:val="0"/>
                <w:szCs w:val="21"/>
                <w:highlight w:val="none"/>
                <w:lang w:val="en-US" w:eastAsia="zh-CN"/>
                <w14:ligatures w14:val="none"/>
              </w:rPr>
            </w:pPr>
            <w:r>
              <w:rPr>
                <w:rFonts w:ascii="Times New Roman" w:hAnsi="Times New Roman" w:eastAsia="方正仿宋_GBK" w:cs="Times New Roman"/>
                <w:color w:val="auto"/>
                <w:kern w:val="0"/>
                <w:szCs w:val="21"/>
                <w:highlight w:val="none"/>
                <w14:ligatures w14:val="none"/>
              </w:rPr>
              <w:t>代码</w:t>
            </w:r>
          </w:p>
        </w:tc>
        <w:tc>
          <w:tcPr>
            <w:tcW w:w="1056" w:type="dxa"/>
            <w:vAlign w:val="center"/>
          </w:tcPr>
          <w:p w14:paraId="7B481AF0">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名称</w:t>
            </w:r>
          </w:p>
        </w:tc>
        <w:tc>
          <w:tcPr>
            <w:tcW w:w="717" w:type="dxa"/>
            <w:vAlign w:val="center"/>
          </w:tcPr>
          <w:p w14:paraId="62538D35">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类别</w:t>
            </w:r>
          </w:p>
        </w:tc>
        <w:tc>
          <w:tcPr>
            <w:tcW w:w="936" w:type="dxa"/>
            <w:vAlign w:val="center"/>
          </w:tcPr>
          <w:p w14:paraId="73754486">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产生量</w:t>
            </w:r>
          </w:p>
        </w:tc>
        <w:tc>
          <w:tcPr>
            <w:tcW w:w="936" w:type="dxa"/>
            <w:vAlign w:val="center"/>
          </w:tcPr>
          <w:p w14:paraId="701C7CF1">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贮存量</w:t>
            </w:r>
          </w:p>
        </w:tc>
        <w:tc>
          <w:tcPr>
            <w:tcW w:w="936" w:type="dxa"/>
            <w:vAlign w:val="center"/>
          </w:tcPr>
          <w:p w14:paraId="2231F657">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累计贮存量</w:t>
            </w:r>
          </w:p>
        </w:tc>
        <w:tc>
          <w:tcPr>
            <w:tcW w:w="936" w:type="dxa"/>
            <w:vAlign w:val="center"/>
          </w:tcPr>
          <w:p w14:paraId="5FBFEDBB">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自行利用方式</w:t>
            </w:r>
          </w:p>
        </w:tc>
        <w:tc>
          <w:tcPr>
            <w:tcW w:w="936" w:type="dxa"/>
            <w:vAlign w:val="center"/>
          </w:tcPr>
          <w:p w14:paraId="13404A5A">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自行利用数量</w:t>
            </w:r>
          </w:p>
        </w:tc>
        <w:tc>
          <w:tcPr>
            <w:tcW w:w="936" w:type="dxa"/>
            <w:vAlign w:val="center"/>
          </w:tcPr>
          <w:p w14:paraId="2C74DCF4">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委托利用方式</w:t>
            </w:r>
          </w:p>
        </w:tc>
        <w:tc>
          <w:tcPr>
            <w:tcW w:w="936" w:type="dxa"/>
            <w:vAlign w:val="center"/>
          </w:tcPr>
          <w:p w14:paraId="5EA8FEB0">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委托利用数量</w:t>
            </w:r>
          </w:p>
        </w:tc>
        <w:tc>
          <w:tcPr>
            <w:tcW w:w="936" w:type="dxa"/>
            <w:vAlign w:val="center"/>
          </w:tcPr>
          <w:p w14:paraId="0DE24263">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自行处置方式</w:t>
            </w:r>
          </w:p>
        </w:tc>
        <w:tc>
          <w:tcPr>
            <w:tcW w:w="936" w:type="dxa"/>
            <w:vAlign w:val="center"/>
          </w:tcPr>
          <w:p w14:paraId="4C9F846C">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自行处置数量</w:t>
            </w:r>
          </w:p>
        </w:tc>
        <w:tc>
          <w:tcPr>
            <w:tcW w:w="936" w:type="dxa"/>
            <w:vAlign w:val="center"/>
          </w:tcPr>
          <w:p w14:paraId="3079D210">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委托处置方式</w:t>
            </w:r>
          </w:p>
        </w:tc>
        <w:tc>
          <w:tcPr>
            <w:tcW w:w="936" w:type="dxa"/>
            <w:vAlign w:val="center"/>
          </w:tcPr>
          <w:p w14:paraId="442B5E37">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委托处置数量</w:t>
            </w:r>
          </w:p>
        </w:tc>
      </w:tr>
      <w:tr w14:paraId="623A3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750" w:type="dxa"/>
            <w:vAlign w:val="center"/>
          </w:tcPr>
          <w:p w14:paraId="7B32B937">
            <w:pPr>
              <w:widowControl w:val="0"/>
              <w:adjustRightInd/>
              <w:snapToGrid w:val="0"/>
              <w:jc w:val="center"/>
              <w:rPr>
                <w:rFonts w:hint="eastAsia" w:ascii="Times New Roman" w:hAnsi="Times New Roman" w:eastAsia="方正仿宋_GBK" w:cs="Times New Roman"/>
                <w:color w:val="auto"/>
                <w:kern w:val="0"/>
                <w:sz w:val="20"/>
                <w:szCs w:val="21"/>
                <w:highlight w:val="none"/>
                <w:lang w:val="en-US" w:eastAsia="zh-CN" w:bidi="ar"/>
                <w14:ligatures w14:val="none"/>
              </w:rPr>
            </w:pPr>
          </w:p>
        </w:tc>
        <w:tc>
          <w:tcPr>
            <w:tcW w:w="1301" w:type="dxa"/>
            <w:vAlign w:val="center"/>
          </w:tcPr>
          <w:p w14:paraId="47171EED">
            <w:pPr>
              <w:widowControl w:val="0"/>
              <w:adjustRightInd/>
              <w:snapToGrid w:val="0"/>
              <w:jc w:val="center"/>
              <w:rPr>
                <w:rFonts w:hint="eastAsia" w:ascii="Times New Roman" w:hAnsi="Times New Roman" w:eastAsia="方正仿宋_GBK" w:cs="Times New Roman"/>
                <w:color w:val="auto"/>
                <w:kern w:val="0"/>
                <w:sz w:val="20"/>
                <w:szCs w:val="21"/>
                <w:highlight w:val="none"/>
                <w:lang w:val="en-US" w:eastAsia="zh-CN" w:bidi="ar"/>
                <w14:ligatures w14:val="none"/>
              </w:rPr>
            </w:pPr>
          </w:p>
        </w:tc>
        <w:tc>
          <w:tcPr>
            <w:tcW w:w="1056" w:type="dxa"/>
            <w:vAlign w:val="center"/>
          </w:tcPr>
          <w:p w14:paraId="7FB1174A">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717" w:type="dxa"/>
            <w:vAlign w:val="center"/>
          </w:tcPr>
          <w:p w14:paraId="6ADDF0BA">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32120ABD">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5679C13C">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6126E35F">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7CC7EE7C">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263086D9">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51CF0847">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5222F155">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08DFAC30">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1A63A44E">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4038C2FD">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6B1D0A89">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14:paraId="686AE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750" w:type="dxa"/>
            <w:vAlign w:val="center"/>
          </w:tcPr>
          <w:p w14:paraId="156BD6A9">
            <w:pPr>
              <w:widowControl w:val="0"/>
              <w:adjustRightInd/>
              <w:snapToGrid w:val="0"/>
              <w:jc w:val="center"/>
              <w:rPr>
                <w:rFonts w:hint="eastAsia" w:ascii="Times New Roman" w:hAnsi="Times New Roman" w:eastAsia="方正仿宋_GBK" w:cs="Times New Roman"/>
                <w:color w:val="auto"/>
                <w:kern w:val="0"/>
                <w:sz w:val="20"/>
                <w:szCs w:val="21"/>
                <w:highlight w:val="none"/>
                <w:lang w:val="en-US" w:eastAsia="zh-CN" w:bidi="ar"/>
                <w14:ligatures w14:val="none"/>
              </w:rPr>
            </w:pPr>
          </w:p>
        </w:tc>
        <w:tc>
          <w:tcPr>
            <w:tcW w:w="1301" w:type="dxa"/>
            <w:vAlign w:val="center"/>
          </w:tcPr>
          <w:p w14:paraId="1CB1C535">
            <w:pPr>
              <w:widowControl w:val="0"/>
              <w:adjustRightInd/>
              <w:snapToGrid w:val="0"/>
              <w:jc w:val="center"/>
              <w:rPr>
                <w:rFonts w:hint="eastAsia" w:ascii="Times New Roman" w:hAnsi="Times New Roman" w:eastAsia="方正仿宋_GBK" w:cs="Times New Roman"/>
                <w:color w:val="auto"/>
                <w:kern w:val="0"/>
                <w:sz w:val="20"/>
                <w:szCs w:val="21"/>
                <w:highlight w:val="none"/>
                <w:lang w:val="en-US" w:eastAsia="zh-CN" w:bidi="ar"/>
                <w14:ligatures w14:val="none"/>
              </w:rPr>
            </w:pPr>
          </w:p>
        </w:tc>
        <w:tc>
          <w:tcPr>
            <w:tcW w:w="1056" w:type="dxa"/>
            <w:vAlign w:val="center"/>
          </w:tcPr>
          <w:p w14:paraId="211F5620">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717" w:type="dxa"/>
            <w:vAlign w:val="center"/>
          </w:tcPr>
          <w:p w14:paraId="38157340">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45F1C9F6">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311373F7">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46D27DFE">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2EA4E2F8">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6AE9EC27">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7A23FAE9">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58DF2E27">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74B11585">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54F1C4AB">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428C1887">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0946993F">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14:paraId="66E65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750" w:type="dxa"/>
            <w:vAlign w:val="center"/>
          </w:tcPr>
          <w:p w14:paraId="565ABA89">
            <w:pPr>
              <w:widowControl w:val="0"/>
              <w:adjustRightInd/>
              <w:snapToGrid w:val="0"/>
              <w:jc w:val="center"/>
              <w:rPr>
                <w:rFonts w:hint="eastAsia" w:ascii="Times New Roman" w:hAnsi="Times New Roman" w:eastAsia="方正仿宋_GBK" w:cs="Times New Roman"/>
                <w:color w:val="auto"/>
                <w:kern w:val="0"/>
                <w:sz w:val="20"/>
                <w:szCs w:val="21"/>
                <w:highlight w:val="none"/>
                <w:lang w:val="en-US" w:eastAsia="zh-CN" w:bidi="ar"/>
                <w14:ligatures w14:val="none"/>
              </w:rPr>
            </w:pPr>
          </w:p>
        </w:tc>
        <w:tc>
          <w:tcPr>
            <w:tcW w:w="1301" w:type="dxa"/>
            <w:vAlign w:val="center"/>
          </w:tcPr>
          <w:p w14:paraId="13C2F378">
            <w:pPr>
              <w:widowControl w:val="0"/>
              <w:adjustRightInd/>
              <w:snapToGrid w:val="0"/>
              <w:jc w:val="center"/>
              <w:rPr>
                <w:rFonts w:hint="eastAsia" w:ascii="Times New Roman" w:hAnsi="Times New Roman" w:eastAsia="方正仿宋_GBK" w:cs="Times New Roman"/>
                <w:color w:val="auto"/>
                <w:kern w:val="0"/>
                <w:sz w:val="20"/>
                <w:szCs w:val="21"/>
                <w:highlight w:val="none"/>
                <w:lang w:val="en-US" w:eastAsia="zh-CN" w:bidi="ar"/>
                <w14:ligatures w14:val="none"/>
              </w:rPr>
            </w:pPr>
          </w:p>
        </w:tc>
        <w:tc>
          <w:tcPr>
            <w:tcW w:w="1056" w:type="dxa"/>
            <w:vAlign w:val="center"/>
          </w:tcPr>
          <w:p w14:paraId="025FDD2A">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717" w:type="dxa"/>
            <w:vAlign w:val="center"/>
          </w:tcPr>
          <w:p w14:paraId="5FF134F7">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1CF41029">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6F2EF469">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57847478">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718EE727">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5A4C6324">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0254BB9F">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36B0F967">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6EF6CB7A">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6B12C622">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009341ED">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1B57B77C">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bl>
    <w:p w14:paraId="286A34E1">
      <w:pPr>
        <w:widowControl w:val="0"/>
        <w:adjustRightInd/>
        <w:snapToGrid w:val="0"/>
        <w:jc w:val="left"/>
        <w:rPr>
          <w:rFonts w:ascii="Times New Roman" w:hAnsi="Times New Roman" w:eastAsia="方正仿宋_GBK" w:cs="Times New Roman"/>
          <w:color w:val="auto"/>
          <w:kern w:val="0"/>
          <w:szCs w:val="21"/>
          <w:highlight w:val="none"/>
          <w:lang w:bidi="ar"/>
        </w:rPr>
      </w:pPr>
    </w:p>
    <w:p w14:paraId="48BFCE3D">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注：</w:t>
      </w:r>
    </w:p>
    <w:p w14:paraId="53BCDB9D">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1.产生量、贮存量、利用量、处置量：均为填表期间内的实际发生数量。</w:t>
      </w:r>
    </w:p>
    <w:p w14:paraId="224186FF">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2.累计贮存量：截止到填表当月月底，累计实际贮存总量，包括本指南实施之前发生的贮存量。</w:t>
      </w:r>
    </w:p>
    <w:p w14:paraId="49085715">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3.自行/委托利用方式：根据实际情况。简要描述利用技术路线和利用产物。</w:t>
      </w:r>
    </w:p>
    <w:p w14:paraId="72783E05">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4.自行/委托处置方式：根据实际情况，选择焚烧、填埋、其他处置方式。</w:t>
      </w:r>
    </w:p>
    <w:p w14:paraId="0E4BF6BB">
      <w:pPr>
        <w:rPr>
          <w:rFonts w:ascii="Times New Roman" w:hAnsi="Times New Roman" w:eastAsia="方正仿宋_GBK" w:cs="Times New Roman"/>
          <w:b/>
          <w:bCs/>
          <w:color w:val="auto"/>
          <w:kern w:val="0"/>
          <w:szCs w:val="21"/>
          <w:highlight w:val="none"/>
          <w:lang w:bidi="ar"/>
        </w:rPr>
      </w:pPr>
      <w:r>
        <w:rPr>
          <w:rFonts w:ascii="Times New Roman" w:hAnsi="Times New Roman" w:eastAsia="方正仿宋_GBK" w:cs="Times New Roman"/>
          <w:b/>
          <w:bCs/>
          <w:color w:val="auto"/>
          <w:kern w:val="0"/>
          <w:szCs w:val="21"/>
          <w:highlight w:val="none"/>
          <w:lang w:bidi="ar"/>
        </w:rPr>
        <w:t>5.利用/处置数量：原则上应以</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吨</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为单位计量，如以其他单位计量则应说明计量单位，并通过估算换算成以</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吨</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计量。</w:t>
      </w:r>
    </w:p>
    <w:p w14:paraId="31F8F889">
      <w:pPr>
        <w:rPr>
          <w:rFonts w:ascii="Times New Roman" w:hAnsi="Times New Roman" w:eastAsia="方正仿宋_GBK" w:cs="Times New Roman"/>
          <w:b/>
          <w:bCs/>
          <w:color w:val="auto"/>
          <w:kern w:val="0"/>
          <w:szCs w:val="21"/>
          <w:highlight w:val="none"/>
          <w:lang w:bidi="ar"/>
        </w:rPr>
      </w:pPr>
      <w:r>
        <w:rPr>
          <w:rFonts w:ascii="Times New Roman" w:hAnsi="Times New Roman" w:eastAsia="方正仿宋_GBK" w:cs="Times New Roman"/>
          <w:b/>
          <w:bCs/>
          <w:color w:val="auto"/>
          <w:kern w:val="0"/>
          <w:szCs w:val="21"/>
          <w:highlight w:val="none"/>
          <w:lang w:bidi="ar"/>
        </w:rPr>
        <w:br w:type="page"/>
      </w:r>
    </w:p>
    <w:p w14:paraId="1C96C1A4">
      <w:pPr>
        <w:keepNext w:val="0"/>
        <w:keepLines w:val="0"/>
        <w:widowControl w:val="0"/>
        <w:suppressLineNumbers w:val="0"/>
        <w:adjustRightInd/>
        <w:snapToGrid w:val="0"/>
        <w:spacing w:line="600" w:lineRule="atLeast"/>
        <w:jc w:val="both"/>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附表3（必填）</w:t>
      </w:r>
    </w:p>
    <w:p w14:paraId="7EDEED6D">
      <w:pPr>
        <w:keepNext w:val="0"/>
        <w:keepLines w:val="0"/>
        <w:pageBreakBefore w:val="0"/>
        <w:widowControl w:val="0"/>
        <w:kinsoku w:val="0"/>
        <w:wordWrap/>
        <w:overflowPunct/>
        <w:topLinePunct w:val="0"/>
        <w:autoSpaceDE/>
        <w:autoSpaceDN/>
        <w:bidi w:val="0"/>
        <w:adjustRightInd/>
        <w:snapToGrid w:val="0"/>
        <w:spacing w:before="0" w:beforeLines="0" w:after="0" w:afterLines="0" w:line="600" w:lineRule="atLeast"/>
        <w:jc w:val="center"/>
        <w:textAlignment w:val="baseline"/>
        <w:rPr>
          <w:rFonts w:hint="eastAsia" w:ascii="方正黑体_GBK" w:hAnsi="方正黑体_GBK" w:eastAsia="方正黑体_GBK" w:cs="方正黑体_GBK"/>
          <w:color w:val="auto"/>
          <w:sz w:val="32"/>
          <w:szCs w:val="32"/>
          <w:highlight w:val="none"/>
          <w:lang w:eastAsia="en-US"/>
        </w:rPr>
      </w:pPr>
      <w:r>
        <w:rPr>
          <w:rFonts w:hint="eastAsia" w:ascii="方正黑体_GBK" w:hAnsi="方正黑体_GBK" w:eastAsia="方正黑体_GBK" w:cs="方正黑体_GBK"/>
          <w:color w:val="auto"/>
          <w:sz w:val="32"/>
          <w:szCs w:val="32"/>
          <w:highlight w:val="none"/>
          <w:lang w:eastAsia="en-US"/>
        </w:rPr>
        <w:t>一般工业固体废物出厂环节记录表</w:t>
      </w:r>
    </w:p>
    <w:p w14:paraId="12C58E82">
      <w:pPr>
        <w:adjustRightInd/>
        <w:snapToGrid w:val="0"/>
        <w:spacing w:line="560" w:lineRule="exact"/>
        <w:ind w:firstLine="640" w:firstLineChars="200"/>
        <w:jc w:val="center"/>
        <w:rPr>
          <w:rFonts w:ascii="Times New Roman" w:hAnsi="Times New Roman" w:eastAsia="黑体" w:cs="Times New Roman"/>
          <w:color w:val="auto"/>
          <w:sz w:val="32"/>
          <w:szCs w:val="32"/>
          <w:highlight w:val="none"/>
        </w:rPr>
      </w:pPr>
    </w:p>
    <w:p w14:paraId="3B100E66">
      <w:pPr>
        <w:widowControl w:val="0"/>
        <w:adjustRightInd/>
        <w:snapToGrid w:val="0"/>
        <w:jc w:val="left"/>
        <w:rPr>
          <w:rFonts w:ascii="Times New Roman" w:hAnsi="Times New Roman" w:eastAsia="方正仿宋_GBK" w:cs="Times New Roman"/>
          <w:color w:val="auto"/>
          <w:szCs w:val="21"/>
          <w:highlight w:val="none"/>
        </w:rPr>
      </w:pPr>
      <w:r>
        <w:rPr>
          <w:rFonts w:ascii="Times New Roman" w:hAnsi="Times New Roman" w:eastAsia="方正仿宋_GBK" w:cs="Times New Roman"/>
          <w:color w:val="auto"/>
          <w:kern w:val="0"/>
          <w:szCs w:val="24"/>
          <w:highlight w:val="none"/>
          <w:lang w:bidi="ar"/>
        </w:rPr>
        <w:t xml:space="preserve">负责人签字：            </w:t>
      </w:r>
      <w:r>
        <w:rPr>
          <w:rFonts w:hint="eastAsia" w:ascii="Times New Roman" w:hAnsi="Times New Roman" w:eastAsia="方正仿宋_GBK" w:cs="Times New Roman"/>
          <w:color w:val="auto"/>
          <w:kern w:val="0"/>
          <w:szCs w:val="24"/>
          <w:highlight w:val="none"/>
          <w:lang w:val="en-US" w:eastAsia="zh-CN" w:bidi="ar"/>
        </w:rPr>
        <w:t xml:space="preserve">                   </w:t>
      </w:r>
      <w:r>
        <w:rPr>
          <w:rFonts w:ascii="Times New Roman" w:hAnsi="Times New Roman" w:eastAsia="方正仿宋_GBK" w:cs="Times New Roman"/>
          <w:color w:val="auto"/>
          <w:kern w:val="0"/>
          <w:szCs w:val="24"/>
          <w:highlight w:val="none"/>
          <w:lang w:bidi="ar"/>
        </w:rPr>
        <w:t xml:space="preserve"> </w:t>
      </w:r>
      <w:r>
        <w:rPr>
          <w:rFonts w:hint="eastAsia" w:ascii="Times New Roman" w:hAnsi="Times New Roman" w:eastAsia="方正仿宋_GBK" w:cs="Times New Roman"/>
          <w:color w:val="auto"/>
          <w:kern w:val="0"/>
          <w:szCs w:val="24"/>
          <w:highlight w:val="none"/>
          <w:lang w:val="en-US" w:eastAsia="zh-CN" w:bidi="ar"/>
        </w:rPr>
        <w:t xml:space="preserve">   </w:t>
      </w:r>
      <w:r>
        <w:rPr>
          <w:rFonts w:ascii="Times New Roman" w:hAnsi="Times New Roman" w:eastAsia="方正仿宋_GBK" w:cs="Times New Roman"/>
          <w:color w:val="auto"/>
          <w:kern w:val="0"/>
          <w:szCs w:val="24"/>
          <w:highlight w:val="none"/>
          <w:lang w:bidi="ar"/>
        </w:rPr>
        <w:t xml:space="preserve">填表人签字：            </w:t>
      </w:r>
      <w:r>
        <w:rPr>
          <w:rFonts w:hint="eastAsia" w:ascii="Times New Roman" w:hAnsi="Times New Roman" w:eastAsia="方正仿宋_GBK" w:cs="Times New Roman"/>
          <w:color w:val="auto"/>
          <w:kern w:val="0"/>
          <w:szCs w:val="24"/>
          <w:highlight w:val="none"/>
          <w:lang w:val="en-US" w:eastAsia="zh-CN" w:bidi="ar"/>
        </w:rPr>
        <w:t xml:space="preserve">                   </w:t>
      </w:r>
      <w:r>
        <w:rPr>
          <w:rFonts w:ascii="Times New Roman" w:hAnsi="Times New Roman" w:eastAsia="方正仿宋_GBK" w:cs="Times New Roman"/>
          <w:color w:val="auto"/>
          <w:kern w:val="0"/>
          <w:szCs w:val="24"/>
          <w:highlight w:val="none"/>
          <w:lang w:bidi="ar"/>
        </w:rPr>
        <w:t xml:space="preserve"> </w:t>
      </w:r>
      <w:r>
        <w:rPr>
          <w:rFonts w:hint="eastAsia" w:ascii="Times New Roman" w:hAnsi="Times New Roman" w:eastAsia="方正仿宋_GBK" w:cs="Times New Roman"/>
          <w:color w:val="auto"/>
          <w:kern w:val="0"/>
          <w:szCs w:val="24"/>
          <w:highlight w:val="none"/>
          <w:lang w:val="en-US" w:eastAsia="zh-CN" w:bidi="ar"/>
        </w:rPr>
        <w:t xml:space="preserve">   </w:t>
      </w:r>
      <w:r>
        <w:rPr>
          <w:rFonts w:ascii="Times New Roman" w:hAnsi="Times New Roman" w:eastAsia="方正仿宋_GBK" w:cs="Times New Roman"/>
          <w:color w:val="auto"/>
          <w:kern w:val="0"/>
          <w:szCs w:val="24"/>
          <w:highlight w:val="none"/>
          <w:lang w:bidi="ar"/>
        </w:rPr>
        <w:t>填表日期：</w:t>
      </w:r>
    </w:p>
    <w:tbl>
      <w:tblPr>
        <w:tblStyle w:val="9"/>
        <w:tblpPr w:leftFromText="180" w:rightFromText="180" w:vertAnchor="text" w:horzAnchor="page" w:tblpXSpec="center" w:tblpY="99"/>
        <w:tblOverlap w:val="never"/>
        <w:tblW w:w="135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5"/>
        <w:gridCol w:w="1856"/>
        <w:gridCol w:w="1320"/>
        <w:gridCol w:w="984"/>
        <w:gridCol w:w="1188"/>
        <w:gridCol w:w="1099"/>
        <w:gridCol w:w="1099"/>
        <w:gridCol w:w="1099"/>
        <w:gridCol w:w="1099"/>
        <w:gridCol w:w="1288"/>
        <w:gridCol w:w="1267"/>
      </w:tblGrid>
      <w:tr w14:paraId="40AB8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255" w:type="dxa"/>
            <w:vAlign w:val="center"/>
          </w:tcPr>
          <w:p w14:paraId="279C8A38">
            <w:pPr>
              <w:adjustRightInd/>
              <w:snapToGrid w:val="0"/>
              <w:spacing w:line="240" w:lineRule="exact"/>
              <w:jc w:val="center"/>
              <w:rPr>
                <w:rFonts w:hint="eastAsia" w:ascii="Times New Roman" w:hAnsi="Times New Roman" w:eastAsia="方正仿宋_GBK" w:cs="Times New Roman"/>
                <w:color w:val="auto"/>
                <w:kern w:val="0"/>
                <w:szCs w:val="21"/>
                <w:highlight w:val="none"/>
                <w:lang w:val="en-US" w:eastAsia="zh-CN"/>
                <w14:ligatures w14:val="none"/>
              </w:rPr>
            </w:pPr>
            <w:r>
              <w:rPr>
                <w:rFonts w:hint="eastAsia" w:ascii="Times New Roman" w:hAnsi="Times New Roman" w:eastAsia="方正仿宋_GBK" w:cs="Times New Roman"/>
                <w:color w:val="auto"/>
                <w:kern w:val="0"/>
                <w:szCs w:val="21"/>
                <w:highlight w:val="none"/>
                <w:lang w:val="en-US" w:eastAsia="zh-CN"/>
                <w14:ligatures w14:val="none"/>
              </w:rPr>
              <w:t>种类</w:t>
            </w:r>
          </w:p>
        </w:tc>
        <w:tc>
          <w:tcPr>
            <w:tcW w:w="1856" w:type="dxa"/>
            <w:vAlign w:val="center"/>
          </w:tcPr>
          <w:p w14:paraId="0BA6AC2C">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代码</w:t>
            </w:r>
          </w:p>
        </w:tc>
        <w:tc>
          <w:tcPr>
            <w:tcW w:w="1320" w:type="dxa"/>
            <w:vAlign w:val="center"/>
          </w:tcPr>
          <w:p w14:paraId="1307494C">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名称</w:t>
            </w:r>
          </w:p>
        </w:tc>
        <w:tc>
          <w:tcPr>
            <w:tcW w:w="984" w:type="dxa"/>
            <w:vAlign w:val="center"/>
          </w:tcPr>
          <w:p w14:paraId="525E8B80">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出厂时间</w:t>
            </w:r>
          </w:p>
        </w:tc>
        <w:tc>
          <w:tcPr>
            <w:tcW w:w="1188" w:type="dxa"/>
            <w:vAlign w:val="center"/>
          </w:tcPr>
          <w:p w14:paraId="217DAC79">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出厂数量（吨）</w:t>
            </w:r>
          </w:p>
        </w:tc>
        <w:tc>
          <w:tcPr>
            <w:tcW w:w="1099" w:type="dxa"/>
            <w:vAlign w:val="center"/>
          </w:tcPr>
          <w:p w14:paraId="79B7E52A">
            <w:pPr>
              <w:adjustRightInd/>
              <w:snapToGrid w:val="0"/>
              <w:spacing w:line="240" w:lineRule="exact"/>
              <w:jc w:val="center"/>
              <w:rPr>
                <w:rFonts w:ascii="Times New Roman" w:hAnsi="Times New Roman" w:eastAsia="方正仿宋_GBK" w:cs="Times New Roman"/>
                <w:color w:val="auto"/>
                <w:kern w:val="0"/>
                <w:szCs w:val="21"/>
                <w:highlight w:val="none"/>
                <w14:ligatures w14:val="none"/>
              </w:rPr>
            </w:pPr>
            <w:r>
              <w:rPr>
                <w:rFonts w:ascii="Times New Roman" w:hAnsi="Times New Roman" w:eastAsia="方正仿宋_GBK" w:cs="Times New Roman"/>
                <w:color w:val="auto"/>
                <w:kern w:val="0"/>
                <w:szCs w:val="21"/>
                <w:highlight w:val="none"/>
                <w14:ligatures w14:val="none"/>
              </w:rPr>
              <w:t>出厂环节</w:t>
            </w:r>
          </w:p>
          <w:p w14:paraId="6413B312">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经办人</w:t>
            </w:r>
          </w:p>
        </w:tc>
        <w:tc>
          <w:tcPr>
            <w:tcW w:w="1099" w:type="dxa"/>
            <w:vAlign w:val="center"/>
          </w:tcPr>
          <w:p w14:paraId="75ABD8F7">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运输单位</w:t>
            </w:r>
          </w:p>
        </w:tc>
        <w:tc>
          <w:tcPr>
            <w:tcW w:w="1099" w:type="dxa"/>
            <w:vAlign w:val="center"/>
          </w:tcPr>
          <w:p w14:paraId="7A115D32">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运输信息</w:t>
            </w:r>
          </w:p>
        </w:tc>
        <w:tc>
          <w:tcPr>
            <w:tcW w:w="1099" w:type="dxa"/>
            <w:vAlign w:val="center"/>
          </w:tcPr>
          <w:p w14:paraId="4F5C3A5E">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运输方式</w:t>
            </w:r>
          </w:p>
        </w:tc>
        <w:tc>
          <w:tcPr>
            <w:tcW w:w="1288" w:type="dxa"/>
            <w:vAlign w:val="center"/>
          </w:tcPr>
          <w:p w14:paraId="5D026B76">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接收单位</w:t>
            </w:r>
          </w:p>
        </w:tc>
        <w:tc>
          <w:tcPr>
            <w:tcW w:w="1267" w:type="dxa"/>
            <w:vAlign w:val="center"/>
          </w:tcPr>
          <w:p w14:paraId="79B73EF6">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流向类型</w:t>
            </w:r>
          </w:p>
        </w:tc>
      </w:tr>
      <w:tr w14:paraId="7A658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255" w:type="dxa"/>
            <w:vAlign w:val="center"/>
          </w:tcPr>
          <w:p w14:paraId="49649C7F">
            <w:pPr>
              <w:widowControl w:val="0"/>
              <w:adjustRightInd/>
              <w:snapToGrid w:val="0"/>
              <w:jc w:val="center"/>
              <w:rPr>
                <w:rFonts w:hint="eastAsia" w:ascii="Times New Roman" w:hAnsi="Times New Roman" w:eastAsia="方正仿宋_GBK" w:cs="Times New Roman"/>
                <w:color w:val="auto"/>
                <w:kern w:val="0"/>
                <w:sz w:val="20"/>
                <w:szCs w:val="21"/>
                <w:highlight w:val="none"/>
                <w:lang w:val="en-US" w:eastAsia="zh-CN" w:bidi="ar"/>
                <w14:ligatures w14:val="none"/>
              </w:rPr>
            </w:pPr>
          </w:p>
        </w:tc>
        <w:tc>
          <w:tcPr>
            <w:tcW w:w="1856" w:type="dxa"/>
            <w:vAlign w:val="center"/>
          </w:tcPr>
          <w:p w14:paraId="081A534B">
            <w:pPr>
              <w:widowControl w:val="0"/>
              <w:adjustRightInd/>
              <w:snapToGrid w:val="0"/>
              <w:jc w:val="center"/>
              <w:rPr>
                <w:rFonts w:hint="eastAsia" w:ascii="Times New Roman" w:hAnsi="Times New Roman" w:eastAsia="方正仿宋_GBK" w:cs="Times New Roman"/>
                <w:color w:val="auto"/>
                <w:kern w:val="0"/>
                <w:sz w:val="20"/>
                <w:szCs w:val="21"/>
                <w:highlight w:val="none"/>
                <w:lang w:val="en-US" w:eastAsia="zh-CN" w:bidi="ar"/>
                <w14:ligatures w14:val="none"/>
              </w:rPr>
            </w:pPr>
          </w:p>
        </w:tc>
        <w:tc>
          <w:tcPr>
            <w:tcW w:w="1320" w:type="dxa"/>
            <w:vAlign w:val="center"/>
          </w:tcPr>
          <w:p w14:paraId="17BB68B3">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84" w:type="dxa"/>
            <w:vAlign w:val="center"/>
          </w:tcPr>
          <w:p w14:paraId="5EB3B4DD">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188" w:type="dxa"/>
            <w:vAlign w:val="center"/>
          </w:tcPr>
          <w:p w14:paraId="79C743A8">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14:paraId="48955BB2">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14:paraId="2DE87121">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14:paraId="04EDA9ED">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14:paraId="275F72D2">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288" w:type="dxa"/>
            <w:vAlign w:val="center"/>
          </w:tcPr>
          <w:p w14:paraId="57317F80">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267" w:type="dxa"/>
            <w:vAlign w:val="center"/>
          </w:tcPr>
          <w:p w14:paraId="7A40DAF0">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14:paraId="79E10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255" w:type="dxa"/>
            <w:vAlign w:val="center"/>
          </w:tcPr>
          <w:p w14:paraId="6C52B202">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856" w:type="dxa"/>
            <w:vAlign w:val="center"/>
          </w:tcPr>
          <w:p w14:paraId="13888D27">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320" w:type="dxa"/>
            <w:vAlign w:val="center"/>
          </w:tcPr>
          <w:p w14:paraId="7843253B">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84" w:type="dxa"/>
            <w:vAlign w:val="center"/>
          </w:tcPr>
          <w:p w14:paraId="04A7CC4C">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188" w:type="dxa"/>
            <w:vAlign w:val="center"/>
          </w:tcPr>
          <w:p w14:paraId="165A7816">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14:paraId="72EB6907">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14:paraId="0EE4B31F">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14:paraId="498BD24F">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14:paraId="4187C1C3">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288" w:type="dxa"/>
            <w:vAlign w:val="center"/>
          </w:tcPr>
          <w:p w14:paraId="0E05CBA4">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267" w:type="dxa"/>
            <w:vAlign w:val="center"/>
          </w:tcPr>
          <w:p w14:paraId="762AFD1C">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14:paraId="2F851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255" w:type="dxa"/>
            <w:vAlign w:val="center"/>
          </w:tcPr>
          <w:p w14:paraId="1C1AA90E">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856" w:type="dxa"/>
            <w:vAlign w:val="center"/>
          </w:tcPr>
          <w:p w14:paraId="2778FBC1">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320" w:type="dxa"/>
            <w:vAlign w:val="center"/>
          </w:tcPr>
          <w:p w14:paraId="677B5458">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84" w:type="dxa"/>
            <w:vAlign w:val="center"/>
          </w:tcPr>
          <w:p w14:paraId="587C0265">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188" w:type="dxa"/>
            <w:vAlign w:val="center"/>
          </w:tcPr>
          <w:p w14:paraId="23A835AF">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14:paraId="669507D5">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14:paraId="6E55D98B">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14:paraId="03808554">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14:paraId="2225ECD7">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288" w:type="dxa"/>
            <w:vAlign w:val="center"/>
          </w:tcPr>
          <w:p w14:paraId="20D8B95D">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267" w:type="dxa"/>
            <w:vAlign w:val="center"/>
          </w:tcPr>
          <w:p w14:paraId="4F623F97">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bl>
    <w:p w14:paraId="445B3911">
      <w:pPr>
        <w:widowControl w:val="0"/>
        <w:adjustRightInd/>
        <w:snapToGrid w:val="0"/>
        <w:jc w:val="left"/>
        <w:rPr>
          <w:rFonts w:ascii="Times New Roman" w:hAnsi="Times New Roman" w:eastAsia="方正仿宋_GBK" w:cs="Times New Roman"/>
          <w:color w:val="auto"/>
          <w:kern w:val="0"/>
          <w:szCs w:val="21"/>
          <w:highlight w:val="none"/>
          <w:lang w:bidi="ar"/>
        </w:rPr>
      </w:pPr>
    </w:p>
    <w:p w14:paraId="172D0AC4">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注：</w:t>
      </w:r>
    </w:p>
    <w:p w14:paraId="46903D4E">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1.记录表编号：可采用</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出厂</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首字母加年月日再加编号的方式设计，例如</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CC202</w:t>
      </w:r>
      <w:r>
        <w:rPr>
          <w:rFonts w:hint="eastAsia" w:ascii="Times New Roman" w:hAnsi="Times New Roman" w:eastAsia="方正仿宋_GBK" w:cs="Times New Roman"/>
          <w:b/>
          <w:bCs/>
          <w:color w:val="auto"/>
          <w:kern w:val="0"/>
          <w:szCs w:val="21"/>
          <w:highlight w:val="none"/>
          <w:lang w:val="en-US" w:eastAsia="zh-CN" w:bidi="ar"/>
        </w:rPr>
        <w:t>4</w:t>
      </w:r>
      <w:r>
        <w:rPr>
          <w:rFonts w:ascii="Times New Roman" w:hAnsi="Times New Roman" w:eastAsia="方正仿宋_GBK" w:cs="Times New Roman"/>
          <w:b/>
          <w:bCs/>
          <w:color w:val="auto"/>
          <w:kern w:val="0"/>
          <w:szCs w:val="21"/>
          <w:highlight w:val="none"/>
          <w:lang w:bidi="ar"/>
        </w:rPr>
        <w:t>1</w:t>
      </w:r>
      <w:r>
        <w:rPr>
          <w:rFonts w:hint="eastAsia" w:ascii="Times New Roman" w:hAnsi="Times New Roman" w:eastAsia="方正仿宋_GBK" w:cs="Times New Roman"/>
          <w:b/>
          <w:bCs/>
          <w:color w:val="auto"/>
          <w:kern w:val="0"/>
          <w:szCs w:val="21"/>
          <w:highlight w:val="none"/>
          <w:lang w:val="en-US" w:eastAsia="zh-CN" w:bidi="ar"/>
        </w:rPr>
        <w:t>0</w:t>
      </w:r>
      <w:r>
        <w:rPr>
          <w:rFonts w:ascii="Times New Roman" w:hAnsi="Times New Roman" w:eastAsia="方正仿宋_GBK" w:cs="Times New Roman"/>
          <w:b/>
          <w:bCs/>
          <w:color w:val="auto"/>
          <w:kern w:val="0"/>
          <w:szCs w:val="21"/>
          <w:highlight w:val="none"/>
          <w:lang w:bidi="ar"/>
        </w:rPr>
        <w:t>2001</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，也可根据需要自行设计。</w:t>
      </w:r>
    </w:p>
    <w:p w14:paraId="41F4C9A3">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2.出厂时间：原则上应精确至</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分</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w:t>
      </w:r>
    </w:p>
    <w:p w14:paraId="51335364">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3.出厂数量：原则上应以</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吨</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为单位计量，如以其他单位计量则应说明计量单位，并通过估算换算成以</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吨</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计量。</w:t>
      </w:r>
    </w:p>
    <w:p w14:paraId="5C05EF4C">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4.运输信息：填写运输车辆车牌号码、驾驶员姓名及联系方式。</w:t>
      </w:r>
    </w:p>
    <w:p w14:paraId="4636CCDD">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5.运输方式：选择公路、铁路、水路。</w:t>
      </w:r>
    </w:p>
    <w:p w14:paraId="2656A083">
      <w:pPr>
        <w:widowControl w:val="0"/>
        <w:adjustRightInd/>
        <w:snapToGrid w:val="0"/>
        <w:jc w:val="left"/>
        <w:rPr>
          <w:rFonts w:ascii="Times New Roman" w:hAnsi="Times New Roman" w:eastAsia="方正仿宋_GBK" w:cs="Times New Roman"/>
          <w:b/>
          <w:bCs/>
          <w:color w:val="auto"/>
          <w:kern w:val="0"/>
          <w:szCs w:val="21"/>
          <w:highlight w:val="none"/>
          <w:lang w:bidi="ar"/>
        </w:rPr>
      </w:pPr>
      <w:r>
        <w:rPr>
          <w:rFonts w:ascii="Times New Roman" w:hAnsi="Times New Roman" w:eastAsia="方正仿宋_GBK" w:cs="Times New Roman"/>
          <w:b/>
          <w:bCs/>
          <w:color w:val="auto"/>
          <w:kern w:val="0"/>
          <w:szCs w:val="21"/>
          <w:highlight w:val="none"/>
          <w:lang w:bidi="ar"/>
        </w:rPr>
        <w:t>6.流向类型：选择省内转移、跨省转移、越境转移。</w:t>
      </w:r>
    </w:p>
    <w:p w14:paraId="29A4A7FC">
      <w:pPr>
        <w:rPr>
          <w:rFonts w:hint="eastAsia" w:ascii="Times New Roman" w:hAnsi="Times New Roman" w:eastAsia="方正仿宋_GBK" w:cs="Times New Roman"/>
          <w:b/>
          <w:bCs/>
          <w:color w:val="auto"/>
          <w:kern w:val="0"/>
          <w:szCs w:val="21"/>
          <w:highlight w:val="none"/>
          <w:lang w:val="en-US" w:eastAsia="zh-CN" w:bidi="ar"/>
        </w:rPr>
      </w:pPr>
      <w:r>
        <w:rPr>
          <w:rFonts w:hint="eastAsia" w:ascii="Times New Roman" w:hAnsi="Times New Roman" w:eastAsia="方正仿宋_GBK" w:cs="Times New Roman"/>
          <w:b/>
          <w:bCs/>
          <w:color w:val="auto"/>
          <w:kern w:val="0"/>
          <w:szCs w:val="21"/>
          <w:highlight w:val="none"/>
          <w:lang w:val="en-US" w:eastAsia="zh-CN" w:bidi="ar"/>
        </w:rPr>
        <w:br w:type="page"/>
      </w:r>
    </w:p>
    <w:p w14:paraId="4B2DEB55">
      <w:pPr>
        <w:keepNext w:val="0"/>
        <w:keepLines w:val="0"/>
        <w:widowControl w:val="0"/>
        <w:suppressLineNumbers w:val="0"/>
        <w:adjustRightInd/>
        <w:snapToGrid w:val="0"/>
        <w:jc w:val="both"/>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附表4（选填）</w:t>
      </w:r>
    </w:p>
    <w:p w14:paraId="196585CE">
      <w:pPr>
        <w:keepNext w:val="0"/>
        <w:keepLines w:val="0"/>
        <w:pageBreakBefore w:val="0"/>
        <w:widowControl w:val="0"/>
        <w:kinsoku w:val="0"/>
        <w:wordWrap/>
        <w:overflowPunct/>
        <w:topLinePunct w:val="0"/>
        <w:autoSpaceDE/>
        <w:autoSpaceDN/>
        <w:bidi w:val="0"/>
        <w:adjustRightInd/>
        <w:snapToGrid w:val="0"/>
        <w:spacing w:before="0" w:beforeLines="0" w:after="0" w:afterLines="0" w:line="240" w:lineRule="auto"/>
        <w:jc w:val="center"/>
        <w:textAlignment w:val="baseline"/>
        <w:rPr>
          <w:rFonts w:hint="eastAsia" w:ascii="方正黑体_GBK" w:hAnsi="方正黑体_GBK" w:eastAsia="方正黑体_GBK" w:cs="方正黑体_GBK"/>
          <w:color w:val="auto"/>
          <w:sz w:val="32"/>
          <w:szCs w:val="32"/>
          <w:highlight w:val="none"/>
          <w:lang w:eastAsia="en-US"/>
        </w:rPr>
      </w:pPr>
      <w:r>
        <w:rPr>
          <w:rFonts w:hint="eastAsia" w:ascii="方正黑体_GBK" w:hAnsi="方正黑体_GBK" w:eastAsia="方正黑体_GBK" w:cs="方正黑体_GBK"/>
          <w:color w:val="auto"/>
          <w:sz w:val="32"/>
          <w:szCs w:val="32"/>
          <w:highlight w:val="none"/>
          <w:lang w:eastAsia="en-US"/>
        </w:rPr>
        <w:t>一般工业固体废物产生环节记录表</w:t>
      </w:r>
    </w:p>
    <w:p w14:paraId="124D584E">
      <w:pPr>
        <w:adjustRightInd/>
        <w:snapToGrid w:val="0"/>
        <w:spacing w:line="560" w:lineRule="exact"/>
        <w:ind w:firstLine="640" w:firstLineChars="200"/>
        <w:jc w:val="center"/>
        <w:rPr>
          <w:rFonts w:ascii="Times New Roman" w:hAnsi="Times New Roman" w:eastAsia="黑体" w:cs="Times New Roman"/>
          <w:color w:val="auto"/>
          <w:sz w:val="32"/>
          <w:szCs w:val="32"/>
          <w:highlight w:val="none"/>
        </w:rPr>
      </w:pPr>
    </w:p>
    <w:p w14:paraId="2140A3BD">
      <w:pPr>
        <w:widowControl w:val="0"/>
        <w:adjustRightInd/>
        <w:snapToGrid w:val="0"/>
        <w:jc w:val="left"/>
        <w:rPr>
          <w:rFonts w:ascii="Times New Roman" w:hAnsi="Times New Roman" w:eastAsia="方正仿宋_GBK" w:cs="Times New Roman"/>
          <w:color w:val="auto"/>
          <w:kern w:val="0"/>
          <w:szCs w:val="21"/>
          <w:highlight w:val="none"/>
          <w:lang w:bidi="ar"/>
        </w:rPr>
      </w:pPr>
      <w:r>
        <w:rPr>
          <w:rFonts w:ascii="Times New Roman" w:hAnsi="Times New Roman" w:eastAsia="方正仿宋_GBK" w:cs="Times New Roman"/>
          <w:color w:val="auto"/>
          <w:kern w:val="0"/>
          <w:szCs w:val="21"/>
          <w:highlight w:val="none"/>
          <w:lang w:bidi="ar"/>
        </w:rPr>
        <w:t xml:space="preserve">记录表编号：   </w:t>
      </w:r>
      <w:r>
        <w:rPr>
          <w:rFonts w:hint="eastAsia" w:ascii="Times New Roman" w:hAnsi="Times New Roman" w:eastAsia="方正仿宋_GBK" w:cs="Times New Roman"/>
          <w:color w:val="auto"/>
          <w:kern w:val="0"/>
          <w:szCs w:val="21"/>
          <w:highlight w:val="none"/>
          <w:lang w:val="en-US" w:eastAsia="zh-CN" w:bidi="ar"/>
        </w:rPr>
        <w:t xml:space="preserve">              </w:t>
      </w:r>
      <w:r>
        <w:rPr>
          <w:rFonts w:ascii="Times New Roman" w:hAnsi="Times New Roman" w:eastAsia="方正仿宋_GBK" w:cs="Times New Roman"/>
          <w:color w:val="auto"/>
          <w:kern w:val="0"/>
          <w:szCs w:val="21"/>
          <w:highlight w:val="none"/>
          <w:lang w:bidi="ar"/>
        </w:rPr>
        <w:t xml:space="preserve">    生产设施编码：   </w:t>
      </w:r>
      <w:r>
        <w:rPr>
          <w:rFonts w:hint="eastAsia" w:ascii="Times New Roman" w:hAnsi="Times New Roman" w:eastAsia="方正仿宋_GBK" w:cs="Times New Roman"/>
          <w:color w:val="auto"/>
          <w:kern w:val="0"/>
          <w:szCs w:val="21"/>
          <w:highlight w:val="none"/>
          <w:lang w:val="en-US" w:eastAsia="zh-CN" w:bidi="ar"/>
        </w:rPr>
        <w:t xml:space="preserve">              </w:t>
      </w:r>
      <w:r>
        <w:rPr>
          <w:rFonts w:ascii="Times New Roman" w:hAnsi="Times New Roman" w:eastAsia="方正仿宋_GBK" w:cs="Times New Roman"/>
          <w:color w:val="auto"/>
          <w:kern w:val="0"/>
          <w:szCs w:val="21"/>
          <w:highlight w:val="none"/>
          <w:lang w:bidi="ar"/>
        </w:rPr>
        <w:t xml:space="preserve">    废物产生部门负责人：   </w:t>
      </w:r>
      <w:r>
        <w:rPr>
          <w:rFonts w:hint="eastAsia" w:ascii="Times New Roman" w:hAnsi="Times New Roman" w:eastAsia="方正仿宋_GBK" w:cs="Times New Roman"/>
          <w:color w:val="auto"/>
          <w:kern w:val="0"/>
          <w:szCs w:val="21"/>
          <w:highlight w:val="none"/>
          <w:lang w:val="en-US" w:eastAsia="zh-CN" w:bidi="ar"/>
        </w:rPr>
        <w:t xml:space="preserve">              </w:t>
      </w:r>
      <w:r>
        <w:rPr>
          <w:rFonts w:ascii="Times New Roman" w:hAnsi="Times New Roman" w:eastAsia="方正仿宋_GBK" w:cs="Times New Roman"/>
          <w:color w:val="auto"/>
          <w:kern w:val="0"/>
          <w:szCs w:val="21"/>
          <w:highlight w:val="none"/>
          <w:lang w:bidi="ar"/>
        </w:rPr>
        <w:t xml:space="preserve">    填表日期：</w:t>
      </w:r>
    </w:p>
    <w:tbl>
      <w:tblPr>
        <w:tblStyle w:val="9"/>
        <w:tblpPr w:leftFromText="180" w:rightFromText="180" w:vertAnchor="text" w:horzAnchor="page" w:tblpXSpec="center" w:tblpY="99"/>
        <w:tblOverlap w:val="never"/>
        <w:tblW w:w="13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1880"/>
        <w:gridCol w:w="1277"/>
        <w:gridCol w:w="1243"/>
        <w:gridCol w:w="1757"/>
        <w:gridCol w:w="1305"/>
        <w:gridCol w:w="1438"/>
        <w:gridCol w:w="1796"/>
        <w:gridCol w:w="1690"/>
      </w:tblGrid>
      <w:tr w14:paraId="4E3F8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227" w:type="dxa"/>
            <w:vAlign w:val="center"/>
          </w:tcPr>
          <w:p w14:paraId="452336CF">
            <w:pPr>
              <w:adjustRightInd/>
              <w:snapToGrid w:val="0"/>
              <w:spacing w:line="240" w:lineRule="exact"/>
              <w:jc w:val="center"/>
              <w:rPr>
                <w:rFonts w:hint="eastAsia" w:ascii="Times New Roman" w:hAnsi="Times New Roman" w:eastAsia="方正仿宋_GBK" w:cs="Times New Roman"/>
                <w:color w:val="auto"/>
                <w:kern w:val="0"/>
                <w:szCs w:val="21"/>
                <w:highlight w:val="none"/>
                <w:lang w:val="en-US" w:eastAsia="zh-CN"/>
                <w14:ligatures w14:val="none"/>
              </w:rPr>
            </w:pPr>
            <w:r>
              <w:rPr>
                <w:rFonts w:hint="eastAsia" w:ascii="Times New Roman" w:hAnsi="Times New Roman" w:eastAsia="方正仿宋_GBK" w:cs="Times New Roman"/>
                <w:color w:val="auto"/>
                <w:kern w:val="0"/>
                <w:szCs w:val="21"/>
                <w:highlight w:val="none"/>
                <w:lang w:val="en-US" w:eastAsia="zh-CN"/>
                <w14:ligatures w14:val="none"/>
              </w:rPr>
              <w:t>种类</w:t>
            </w:r>
          </w:p>
        </w:tc>
        <w:tc>
          <w:tcPr>
            <w:tcW w:w="1880" w:type="dxa"/>
            <w:vAlign w:val="center"/>
          </w:tcPr>
          <w:p w14:paraId="7C4C4ED9">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代码</w:t>
            </w:r>
          </w:p>
        </w:tc>
        <w:tc>
          <w:tcPr>
            <w:tcW w:w="1277" w:type="dxa"/>
            <w:vAlign w:val="center"/>
          </w:tcPr>
          <w:p w14:paraId="53A35D54">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名称</w:t>
            </w:r>
          </w:p>
        </w:tc>
        <w:tc>
          <w:tcPr>
            <w:tcW w:w="1243" w:type="dxa"/>
            <w:vAlign w:val="center"/>
          </w:tcPr>
          <w:p w14:paraId="645EC339">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产生时间</w:t>
            </w:r>
          </w:p>
        </w:tc>
        <w:tc>
          <w:tcPr>
            <w:tcW w:w="1757" w:type="dxa"/>
            <w:vAlign w:val="center"/>
          </w:tcPr>
          <w:p w14:paraId="39FBB268">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产生数量（吨）</w:t>
            </w:r>
          </w:p>
        </w:tc>
        <w:tc>
          <w:tcPr>
            <w:tcW w:w="1305" w:type="dxa"/>
            <w:vAlign w:val="center"/>
          </w:tcPr>
          <w:p w14:paraId="74C17EC5">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转移时间</w:t>
            </w:r>
          </w:p>
        </w:tc>
        <w:tc>
          <w:tcPr>
            <w:tcW w:w="1438" w:type="dxa"/>
            <w:vAlign w:val="center"/>
          </w:tcPr>
          <w:p w14:paraId="4761ABF6">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转移去向</w:t>
            </w:r>
          </w:p>
        </w:tc>
        <w:tc>
          <w:tcPr>
            <w:tcW w:w="1796" w:type="dxa"/>
            <w:vAlign w:val="center"/>
          </w:tcPr>
          <w:p w14:paraId="33C34CC2">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产生部门经办人</w:t>
            </w:r>
          </w:p>
        </w:tc>
        <w:tc>
          <w:tcPr>
            <w:tcW w:w="1690" w:type="dxa"/>
            <w:vAlign w:val="center"/>
          </w:tcPr>
          <w:p w14:paraId="344E233A">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运输经办人</w:t>
            </w:r>
          </w:p>
        </w:tc>
      </w:tr>
      <w:tr w14:paraId="0E6F6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227" w:type="dxa"/>
            <w:vAlign w:val="center"/>
          </w:tcPr>
          <w:p w14:paraId="2F868876">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880" w:type="dxa"/>
            <w:vAlign w:val="center"/>
          </w:tcPr>
          <w:p w14:paraId="5E037C0D">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277" w:type="dxa"/>
            <w:vAlign w:val="center"/>
          </w:tcPr>
          <w:p w14:paraId="6B2A6011">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243" w:type="dxa"/>
            <w:vAlign w:val="center"/>
          </w:tcPr>
          <w:p w14:paraId="68737272">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57" w:type="dxa"/>
            <w:vAlign w:val="center"/>
          </w:tcPr>
          <w:p w14:paraId="527ECAAF">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305" w:type="dxa"/>
            <w:vAlign w:val="center"/>
          </w:tcPr>
          <w:p w14:paraId="7378172E">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438" w:type="dxa"/>
            <w:vAlign w:val="center"/>
          </w:tcPr>
          <w:p w14:paraId="29ACFBA4">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96" w:type="dxa"/>
            <w:vAlign w:val="center"/>
          </w:tcPr>
          <w:p w14:paraId="7ACC150D">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690" w:type="dxa"/>
            <w:vAlign w:val="center"/>
          </w:tcPr>
          <w:p w14:paraId="0E73D80D">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14:paraId="7D441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227" w:type="dxa"/>
            <w:vAlign w:val="center"/>
          </w:tcPr>
          <w:p w14:paraId="5BA3F0DE">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880" w:type="dxa"/>
            <w:vAlign w:val="center"/>
          </w:tcPr>
          <w:p w14:paraId="4EF568B9">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277" w:type="dxa"/>
            <w:vAlign w:val="center"/>
          </w:tcPr>
          <w:p w14:paraId="650A8BA6">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243" w:type="dxa"/>
            <w:vAlign w:val="center"/>
          </w:tcPr>
          <w:p w14:paraId="0F1346D8">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57" w:type="dxa"/>
            <w:vAlign w:val="center"/>
          </w:tcPr>
          <w:p w14:paraId="0E44E8FB">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305" w:type="dxa"/>
            <w:vAlign w:val="center"/>
          </w:tcPr>
          <w:p w14:paraId="0F6300C1">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438" w:type="dxa"/>
            <w:vAlign w:val="center"/>
          </w:tcPr>
          <w:p w14:paraId="796BCF57">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96" w:type="dxa"/>
            <w:vAlign w:val="center"/>
          </w:tcPr>
          <w:p w14:paraId="28174338">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690" w:type="dxa"/>
            <w:vAlign w:val="center"/>
          </w:tcPr>
          <w:p w14:paraId="137E0152">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14:paraId="7F0C0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227" w:type="dxa"/>
            <w:vAlign w:val="center"/>
          </w:tcPr>
          <w:p w14:paraId="41B5B900">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880" w:type="dxa"/>
            <w:vAlign w:val="center"/>
          </w:tcPr>
          <w:p w14:paraId="6FDAC507">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277" w:type="dxa"/>
            <w:vAlign w:val="center"/>
          </w:tcPr>
          <w:p w14:paraId="78C480CC">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243" w:type="dxa"/>
            <w:vAlign w:val="center"/>
          </w:tcPr>
          <w:p w14:paraId="76DF2B49">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57" w:type="dxa"/>
            <w:vAlign w:val="center"/>
          </w:tcPr>
          <w:p w14:paraId="3D3358AE">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305" w:type="dxa"/>
            <w:vAlign w:val="center"/>
          </w:tcPr>
          <w:p w14:paraId="07BE3D3E">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438" w:type="dxa"/>
            <w:vAlign w:val="center"/>
          </w:tcPr>
          <w:p w14:paraId="43EBE84E">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96" w:type="dxa"/>
            <w:vAlign w:val="center"/>
          </w:tcPr>
          <w:p w14:paraId="6DE7DF8F">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690" w:type="dxa"/>
            <w:vAlign w:val="center"/>
          </w:tcPr>
          <w:p w14:paraId="53C075EB">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bl>
    <w:p w14:paraId="2EA90014">
      <w:pPr>
        <w:widowControl w:val="0"/>
        <w:adjustRightInd/>
        <w:snapToGrid w:val="0"/>
        <w:jc w:val="left"/>
        <w:rPr>
          <w:rFonts w:ascii="Times New Roman" w:hAnsi="Times New Roman" w:eastAsia="方正仿宋_GBK" w:cs="Times New Roman"/>
          <w:color w:val="auto"/>
          <w:kern w:val="0"/>
          <w:sz w:val="18"/>
          <w:szCs w:val="18"/>
          <w:highlight w:val="none"/>
          <w:lang w:bidi="ar"/>
        </w:rPr>
      </w:pPr>
    </w:p>
    <w:p w14:paraId="388FEEE5">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 w:val="18"/>
          <w:szCs w:val="18"/>
          <w:highlight w:val="none"/>
          <w:lang w:bidi="ar"/>
        </w:rPr>
        <w:t>注：</w:t>
      </w:r>
    </w:p>
    <w:p w14:paraId="5018E023">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1.记录表编号：可采用</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产生</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首字母加年月日再加编号的方式设计，例如</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202</w:t>
      </w:r>
      <w:r>
        <w:rPr>
          <w:rFonts w:hint="eastAsia" w:ascii="Times New Roman" w:hAnsi="Times New Roman" w:eastAsia="方正仿宋_GBK" w:cs="Times New Roman"/>
          <w:b/>
          <w:bCs/>
          <w:color w:val="auto"/>
          <w:kern w:val="0"/>
          <w:szCs w:val="21"/>
          <w:highlight w:val="none"/>
          <w:lang w:val="en-US" w:eastAsia="zh-CN" w:bidi="ar"/>
        </w:rPr>
        <w:t>4</w:t>
      </w:r>
      <w:r>
        <w:rPr>
          <w:rFonts w:ascii="Times New Roman" w:hAnsi="Times New Roman" w:eastAsia="方正仿宋_GBK" w:cs="Times New Roman"/>
          <w:b/>
          <w:bCs/>
          <w:color w:val="auto"/>
          <w:kern w:val="0"/>
          <w:szCs w:val="21"/>
          <w:highlight w:val="none"/>
          <w:lang w:bidi="ar"/>
        </w:rPr>
        <w:t>1</w:t>
      </w:r>
      <w:r>
        <w:rPr>
          <w:rFonts w:hint="eastAsia" w:ascii="Times New Roman" w:hAnsi="Times New Roman" w:eastAsia="方正仿宋_GBK" w:cs="Times New Roman"/>
          <w:b/>
          <w:bCs/>
          <w:color w:val="auto"/>
          <w:kern w:val="0"/>
          <w:szCs w:val="21"/>
          <w:highlight w:val="none"/>
          <w:lang w:val="en-US" w:eastAsia="zh-CN" w:bidi="ar"/>
        </w:rPr>
        <w:t>0</w:t>
      </w:r>
      <w:r>
        <w:rPr>
          <w:rFonts w:ascii="Times New Roman" w:hAnsi="Times New Roman" w:eastAsia="方正仿宋_GBK" w:cs="Times New Roman"/>
          <w:b/>
          <w:bCs/>
          <w:color w:val="auto"/>
          <w:kern w:val="0"/>
          <w:szCs w:val="21"/>
          <w:highlight w:val="none"/>
          <w:lang w:bidi="ar"/>
        </w:rPr>
        <w:t>2001</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，也可根据需要自行设计。</w:t>
      </w:r>
    </w:p>
    <w:p w14:paraId="5CDAE4EC">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2.生产设施编码：填写排污许可证载明的设施编码，无编码的依据HJ608自行编码。无固定产生环节的固体废物，可不填写编码。</w:t>
      </w:r>
    </w:p>
    <w:p w14:paraId="000F3DC6">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3.转移去向：是指固体废物在厂内的转移去向，如不经过贮存、利用等环节直接出厂则填写</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出厂</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w:t>
      </w:r>
    </w:p>
    <w:p w14:paraId="3ECA668B">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4.运输经办人：是指固体废物在厂内的运输经办人员。</w:t>
      </w:r>
    </w:p>
    <w:p w14:paraId="5C58B55D">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5.对于废物连续产生的情况，产生时间可按日或按班次计，</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转移时间</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填写</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连续产生</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运输经办人</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项可不填写。</w:t>
      </w:r>
    </w:p>
    <w:p w14:paraId="10A94DE8">
      <w:pPr>
        <w:rPr>
          <w:rFonts w:hint="eastAsia" w:ascii="Times New Roman" w:hAnsi="Times New Roman" w:eastAsia="方正仿宋_GBK" w:cs="Times New Roman"/>
          <w:b/>
          <w:bCs/>
          <w:color w:val="auto"/>
          <w:kern w:val="0"/>
          <w:szCs w:val="21"/>
          <w:highlight w:val="none"/>
          <w:lang w:val="en-US" w:eastAsia="zh-CN" w:bidi="ar"/>
        </w:rPr>
      </w:pPr>
      <w:r>
        <w:rPr>
          <w:rFonts w:hint="eastAsia" w:ascii="Times New Roman" w:hAnsi="Times New Roman" w:eastAsia="方正仿宋_GBK" w:cs="Times New Roman"/>
          <w:b/>
          <w:bCs/>
          <w:color w:val="auto"/>
          <w:kern w:val="0"/>
          <w:szCs w:val="21"/>
          <w:highlight w:val="none"/>
          <w:lang w:val="en-US" w:eastAsia="zh-CN" w:bidi="ar"/>
        </w:rPr>
        <w:br w:type="page"/>
      </w:r>
    </w:p>
    <w:p w14:paraId="502C7099">
      <w:pPr>
        <w:keepNext w:val="0"/>
        <w:keepLines w:val="0"/>
        <w:widowControl w:val="0"/>
        <w:suppressLineNumbers w:val="0"/>
        <w:adjustRightInd/>
        <w:snapToGrid w:val="0"/>
        <w:spacing w:line="600" w:lineRule="atLeast"/>
        <w:jc w:val="both"/>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附表5（选填）</w:t>
      </w:r>
    </w:p>
    <w:p w14:paraId="0AF47B64">
      <w:pPr>
        <w:keepNext w:val="0"/>
        <w:keepLines w:val="0"/>
        <w:pageBreakBefore w:val="0"/>
        <w:widowControl w:val="0"/>
        <w:kinsoku w:val="0"/>
        <w:wordWrap/>
        <w:overflowPunct/>
        <w:topLinePunct w:val="0"/>
        <w:autoSpaceDE/>
        <w:autoSpaceDN/>
        <w:bidi w:val="0"/>
        <w:adjustRightInd/>
        <w:snapToGrid w:val="0"/>
        <w:spacing w:before="0" w:beforeLines="0" w:after="0" w:afterLines="0" w:line="600" w:lineRule="atLeast"/>
        <w:jc w:val="center"/>
        <w:textAlignment w:val="baseline"/>
        <w:rPr>
          <w:rFonts w:hint="eastAsia" w:ascii="方正黑体_GBK" w:hAnsi="方正黑体_GBK" w:eastAsia="方正黑体_GBK" w:cs="方正黑体_GBK"/>
          <w:color w:val="auto"/>
          <w:sz w:val="32"/>
          <w:szCs w:val="32"/>
          <w:highlight w:val="none"/>
          <w:lang w:eastAsia="en-US"/>
        </w:rPr>
      </w:pPr>
      <w:r>
        <w:rPr>
          <w:rFonts w:hint="eastAsia" w:ascii="方正黑体_GBK" w:hAnsi="方正黑体_GBK" w:eastAsia="方正黑体_GBK" w:cs="方正黑体_GBK"/>
          <w:color w:val="auto"/>
          <w:sz w:val="32"/>
          <w:szCs w:val="32"/>
          <w:highlight w:val="none"/>
          <w:lang w:eastAsia="en-US"/>
        </w:rPr>
        <w:t>一般工业固体废物贮存环节记录表</w:t>
      </w:r>
    </w:p>
    <w:p w14:paraId="6B433DF2">
      <w:pPr>
        <w:adjustRightInd/>
        <w:snapToGrid w:val="0"/>
        <w:spacing w:line="560" w:lineRule="exact"/>
        <w:ind w:firstLine="640" w:firstLineChars="200"/>
        <w:jc w:val="center"/>
        <w:rPr>
          <w:rFonts w:ascii="Times New Roman" w:hAnsi="Times New Roman" w:eastAsia="仿宋_GB2312" w:cs="Times New Roman"/>
          <w:color w:val="auto"/>
          <w:sz w:val="32"/>
          <w:szCs w:val="32"/>
          <w:highlight w:val="none"/>
        </w:rPr>
      </w:pPr>
    </w:p>
    <w:p w14:paraId="13F66B58">
      <w:pPr>
        <w:widowControl w:val="0"/>
        <w:adjustRightInd/>
        <w:snapToGrid w:val="0"/>
        <w:jc w:val="left"/>
        <w:rPr>
          <w:rFonts w:ascii="Times New Roman" w:hAnsi="Times New Roman" w:eastAsia="方正仿宋_GBK" w:cs="Times New Roman"/>
          <w:color w:val="auto"/>
          <w:highlight w:val="none"/>
        </w:rPr>
      </w:pPr>
      <w:r>
        <w:rPr>
          <w:rFonts w:ascii="Times New Roman" w:hAnsi="Times New Roman" w:eastAsia="方正仿宋_GBK" w:cs="Times New Roman"/>
          <w:color w:val="auto"/>
          <w:kern w:val="0"/>
          <w:szCs w:val="21"/>
          <w:highlight w:val="none"/>
          <w:lang w:bidi="ar"/>
        </w:rPr>
        <w:t xml:space="preserve">记录表编号：   </w:t>
      </w:r>
      <w:r>
        <w:rPr>
          <w:rFonts w:hint="eastAsia" w:ascii="Times New Roman" w:hAnsi="Times New Roman" w:eastAsia="方正仿宋_GBK" w:cs="Times New Roman"/>
          <w:color w:val="auto"/>
          <w:kern w:val="0"/>
          <w:szCs w:val="21"/>
          <w:highlight w:val="none"/>
          <w:lang w:val="en-US" w:eastAsia="zh-CN" w:bidi="ar"/>
        </w:rPr>
        <w:t xml:space="preserve">             </w:t>
      </w:r>
      <w:r>
        <w:rPr>
          <w:rFonts w:ascii="Times New Roman" w:hAnsi="Times New Roman" w:eastAsia="方正仿宋_GBK" w:cs="Times New Roman"/>
          <w:color w:val="auto"/>
          <w:kern w:val="0"/>
          <w:szCs w:val="21"/>
          <w:highlight w:val="none"/>
          <w:lang w:bidi="ar"/>
        </w:rPr>
        <w:t xml:space="preserve">    </w:t>
      </w:r>
      <w:r>
        <w:rPr>
          <w:rFonts w:hint="eastAsia" w:ascii="Times New Roman" w:hAnsi="Times New Roman" w:eastAsia="方正仿宋_GBK" w:cs="Times New Roman"/>
          <w:color w:val="auto"/>
          <w:kern w:val="0"/>
          <w:szCs w:val="21"/>
          <w:highlight w:val="none"/>
          <w:lang w:val="en-US" w:eastAsia="zh-CN" w:bidi="ar"/>
        </w:rPr>
        <w:t>贮存</w:t>
      </w:r>
      <w:r>
        <w:rPr>
          <w:rFonts w:ascii="Times New Roman" w:hAnsi="Times New Roman" w:eastAsia="方正仿宋_GBK" w:cs="Times New Roman"/>
          <w:color w:val="auto"/>
          <w:kern w:val="0"/>
          <w:szCs w:val="21"/>
          <w:highlight w:val="none"/>
          <w:lang w:bidi="ar"/>
        </w:rPr>
        <w:t xml:space="preserve">设施编码：   </w:t>
      </w:r>
      <w:r>
        <w:rPr>
          <w:rFonts w:hint="eastAsia" w:ascii="Times New Roman" w:hAnsi="Times New Roman" w:eastAsia="方正仿宋_GBK" w:cs="Times New Roman"/>
          <w:color w:val="auto"/>
          <w:kern w:val="0"/>
          <w:szCs w:val="21"/>
          <w:highlight w:val="none"/>
          <w:lang w:val="en-US" w:eastAsia="zh-CN" w:bidi="ar"/>
        </w:rPr>
        <w:t xml:space="preserve">             </w:t>
      </w:r>
      <w:r>
        <w:rPr>
          <w:rFonts w:ascii="Times New Roman" w:hAnsi="Times New Roman" w:eastAsia="方正仿宋_GBK" w:cs="Times New Roman"/>
          <w:color w:val="auto"/>
          <w:kern w:val="0"/>
          <w:szCs w:val="21"/>
          <w:highlight w:val="none"/>
          <w:lang w:bidi="ar"/>
        </w:rPr>
        <w:t xml:space="preserve">    </w:t>
      </w:r>
      <w:r>
        <w:rPr>
          <w:rFonts w:hint="eastAsia" w:ascii="Times New Roman" w:hAnsi="Times New Roman" w:eastAsia="方正仿宋_GBK" w:cs="Times New Roman"/>
          <w:color w:val="auto"/>
          <w:kern w:val="0"/>
          <w:szCs w:val="21"/>
          <w:highlight w:val="none"/>
          <w:lang w:val="en-US" w:eastAsia="zh-CN" w:bidi="ar"/>
        </w:rPr>
        <w:t>贮存</w:t>
      </w:r>
      <w:r>
        <w:rPr>
          <w:rFonts w:ascii="Times New Roman" w:hAnsi="Times New Roman" w:eastAsia="方正仿宋_GBK" w:cs="Times New Roman"/>
          <w:color w:val="auto"/>
          <w:kern w:val="0"/>
          <w:szCs w:val="21"/>
          <w:highlight w:val="none"/>
          <w:lang w:bidi="ar"/>
        </w:rPr>
        <w:t xml:space="preserve">部门负责人：   </w:t>
      </w:r>
      <w:r>
        <w:rPr>
          <w:rFonts w:hint="eastAsia" w:ascii="Times New Roman" w:hAnsi="Times New Roman" w:eastAsia="方正仿宋_GBK" w:cs="Times New Roman"/>
          <w:color w:val="auto"/>
          <w:kern w:val="0"/>
          <w:szCs w:val="21"/>
          <w:highlight w:val="none"/>
          <w:lang w:val="en-US" w:eastAsia="zh-CN" w:bidi="ar"/>
        </w:rPr>
        <w:t xml:space="preserve">             </w:t>
      </w:r>
      <w:r>
        <w:rPr>
          <w:rFonts w:ascii="Times New Roman" w:hAnsi="Times New Roman" w:eastAsia="方正仿宋_GBK" w:cs="Times New Roman"/>
          <w:color w:val="auto"/>
          <w:kern w:val="0"/>
          <w:szCs w:val="21"/>
          <w:highlight w:val="none"/>
          <w:lang w:bidi="ar"/>
        </w:rPr>
        <w:t xml:space="preserve">    填表日期：</w:t>
      </w:r>
    </w:p>
    <w:tbl>
      <w:tblPr>
        <w:tblStyle w:val="9"/>
        <w:tblpPr w:leftFromText="180" w:rightFromText="180" w:vertAnchor="text" w:horzAnchor="page" w:tblpXSpec="center" w:tblpY="99"/>
        <w:tblOverlap w:val="never"/>
        <w:tblW w:w="141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1079"/>
        <w:gridCol w:w="1088"/>
        <w:gridCol w:w="1091"/>
        <w:gridCol w:w="1091"/>
        <w:gridCol w:w="1091"/>
        <w:gridCol w:w="1091"/>
        <w:gridCol w:w="1099"/>
        <w:gridCol w:w="1091"/>
        <w:gridCol w:w="1091"/>
        <w:gridCol w:w="1091"/>
        <w:gridCol w:w="1091"/>
        <w:gridCol w:w="1091"/>
      </w:tblGrid>
      <w:tr w14:paraId="1594B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8708" w:type="dxa"/>
            <w:gridSpan w:val="8"/>
            <w:vAlign w:val="center"/>
          </w:tcPr>
          <w:p w14:paraId="66CCA6FF">
            <w:pPr>
              <w:adjustRightInd/>
              <w:snapToGrid w:val="0"/>
              <w:spacing w:line="240" w:lineRule="exact"/>
              <w:jc w:val="center"/>
              <w:rPr>
                <w:rFonts w:ascii="Times New Roman" w:hAnsi="Times New Roman" w:eastAsia="方正仿宋_GBK" w:cs="Times New Roman"/>
                <w:color w:val="auto"/>
                <w:kern w:val="0"/>
                <w:sz w:val="20"/>
                <w:szCs w:val="21"/>
                <w:highlight w:val="none"/>
                <w:lang w:bidi="ar"/>
                <w14:ligatures w14:val="none"/>
              </w:rPr>
            </w:pPr>
            <w:r>
              <w:rPr>
                <w:rFonts w:ascii="Times New Roman" w:hAnsi="Times New Roman" w:eastAsia="方正仿宋_GBK" w:cs="Times New Roman"/>
                <w:color w:val="auto"/>
                <w:kern w:val="0"/>
                <w:sz w:val="20"/>
                <w:szCs w:val="21"/>
                <w:highlight w:val="none"/>
                <w14:ligatures w14:val="none"/>
              </w:rPr>
              <w:t>入库情况</w:t>
            </w:r>
          </w:p>
        </w:tc>
        <w:tc>
          <w:tcPr>
            <w:tcW w:w="5455" w:type="dxa"/>
            <w:gridSpan w:val="5"/>
            <w:vAlign w:val="center"/>
          </w:tcPr>
          <w:p w14:paraId="36F030BA">
            <w:pPr>
              <w:adjustRightInd/>
              <w:snapToGrid w:val="0"/>
              <w:spacing w:line="240" w:lineRule="exact"/>
              <w:jc w:val="center"/>
              <w:rPr>
                <w:rFonts w:ascii="Times New Roman" w:hAnsi="Times New Roman" w:eastAsia="方正仿宋_GBK" w:cs="Times New Roman"/>
                <w:color w:val="auto"/>
                <w:kern w:val="0"/>
                <w:sz w:val="20"/>
                <w:szCs w:val="21"/>
                <w:highlight w:val="none"/>
                <w:lang w:bidi="ar"/>
                <w14:ligatures w14:val="none"/>
              </w:rPr>
            </w:pPr>
            <w:r>
              <w:rPr>
                <w:rFonts w:ascii="Times New Roman" w:hAnsi="Times New Roman" w:eastAsia="方正仿宋_GBK" w:cs="Times New Roman"/>
                <w:color w:val="auto"/>
                <w:kern w:val="0"/>
                <w:sz w:val="20"/>
                <w:szCs w:val="21"/>
                <w:highlight w:val="none"/>
                <w14:ligatures w14:val="none"/>
              </w:rPr>
              <w:t>出库情况</w:t>
            </w:r>
          </w:p>
        </w:tc>
      </w:tr>
      <w:tr w14:paraId="4BE44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078" w:type="dxa"/>
            <w:vAlign w:val="center"/>
          </w:tcPr>
          <w:p w14:paraId="67C1ACE2">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废物来源</w:t>
            </w:r>
          </w:p>
        </w:tc>
        <w:tc>
          <w:tcPr>
            <w:tcW w:w="1079" w:type="dxa"/>
            <w:vAlign w:val="center"/>
          </w:tcPr>
          <w:p w14:paraId="3276BF95">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前序表单编号</w:t>
            </w:r>
          </w:p>
        </w:tc>
        <w:tc>
          <w:tcPr>
            <w:tcW w:w="1088" w:type="dxa"/>
            <w:vAlign w:val="center"/>
          </w:tcPr>
          <w:p w14:paraId="52C8FCFC">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代码</w:t>
            </w:r>
          </w:p>
        </w:tc>
        <w:tc>
          <w:tcPr>
            <w:tcW w:w="1091" w:type="dxa"/>
            <w:vAlign w:val="center"/>
          </w:tcPr>
          <w:p w14:paraId="373B304D">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名称</w:t>
            </w:r>
          </w:p>
        </w:tc>
        <w:tc>
          <w:tcPr>
            <w:tcW w:w="1091" w:type="dxa"/>
            <w:vAlign w:val="center"/>
          </w:tcPr>
          <w:p w14:paraId="5456B6C0">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入库时间</w:t>
            </w:r>
          </w:p>
        </w:tc>
        <w:tc>
          <w:tcPr>
            <w:tcW w:w="1091" w:type="dxa"/>
            <w:vAlign w:val="center"/>
          </w:tcPr>
          <w:p w14:paraId="49CAD1C4">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入库数量（吨）</w:t>
            </w:r>
          </w:p>
        </w:tc>
        <w:tc>
          <w:tcPr>
            <w:tcW w:w="1091" w:type="dxa"/>
            <w:vAlign w:val="center"/>
          </w:tcPr>
          <w:p w14:paraId="76B2B535">
            <w:pPr>
              <w:adjustRightInd/>
              <w:snapToGrid w:val="0"/>
              <w:spacing w:line="240" w:lineRule="exact"/>
              <w:jc w:val="center"/>
              <w:rPr>
                <w:rFonts w:ascii="Times New Roman" w:hAnsi="Times New Roman" w:eastAsia="方正仿宋_GBK" w:cs="Times New Roman"/>
                <w:color w:val="auto"/>
                <w:kern w:val="0"/>
                <w:szCs w:val="21"/>
                <w:highlight w:val="none"/>
                <w14:ligatures w14:val="none"/>
              </w:rPr>
            </w:pPr>
            <w:r>
              <w:rPr>
                <w:rFonts w:ascii="Times New Roman" w:hAnsi="Times New Roman" w:eastAsia="方正仿宋_GBK" w:cs="Times New Roman"/>
                <w:color w:val="auto"/>
                <w:kern w:val="0"/>
                <w:szCs w:val="21"/>
                <w:highlight w:val="none"/>
                <w14:ligatures w14:val="none"/>
              </w:rPr>
              <w:t>运输</w:t>
            </w:r>
          </w:p>
          <w:p w14:paraId="6E25D990">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经办人</w:t>
            </w:r>
          </w:p>
        </w:tc>
        <w:tc>
          <w:tcPr>
            <w:tcW w:w="1099" w:type="dxa"/>
            <w:vAlign w:val="center"/>
          </w:tcPr>
          <w:p w14:paraId="63869E23">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贮存部门经办人</w:t>
            </w:r>
          </w:p>
        </w:tc>
        <w:tc>
          <w:tcPr>
            <w:tcW w:w="1091" w:type="dxa"/>
            <w:vAlign w:val="center"/>
          </w:tcPr>
          <w:p w14:paraId="79E278E8">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出库时间</w:t>
            </w:r>
          </w:p>
        </w:tc>
        <w:tc>
          <w:tcPr>
            <w:tcW w:w="1091" w:type="dxa"/>
            <w:vAlign w:val="center"/>
          </w:tcPr>
          <w:p w14:paraId="469439EB">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出库数量（吨）</w:t>
            </w:r>
          </w:p>
        </w:tc>
        <w:tc>
          <w:tcPr>
            <w:tcW w:w="1091" w:type="dxa"/>
            <w:vAlign w:val="center"/>
          </w:tcPr>
          <w:p w14:paraId="0B7E71B4">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废物去向</w:t>
            </w:r>
          </w:p>
        </w:tc>
        <w:tc>
          <w:tcPr>
            <w:tcW w:w="1091" w:type="dxa"/>
            <w:vAlign w:val="center"/>
          </w:tcPr>
          <w:p w14:paraId="511C6668">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贮存部门经办人</w:t>
            </w:r>
          </w:p>
        </w:tc>
        <w:tc>
          <w:tcPr>
            <w:tcW w:w="1091" w:type="dxa"/>
            <w:vAlign w:val="center"/>
          </w:tcPr>
          <w:p w14:paraId="0FCE5FBC">
            <w:pPr>
              <w:adjustRightInd/>
              <w:snapToGrid w:val="0"/>
              <w:spacing w:line="240" w:lineRule="exact"/>
              <w:jc w:val="center"/>
              <w:rPr>
                <w:rFonts w:ascii="Times New Roman" w:hAnsi="Times New Roman" w:eastAsia="方正仿宋_GBK" w:cs="Times New Roman"/>
                <w:color w:val="auto"/>
                <w:kern w:val="0"/>
                <w:szCs w:val="21"/>
                <w:highlight w:val="none"/>
                <w14:ligatures w14:val="none"/>
              </w:rPr>
            </w:pPr>
            <w:r>
              <w:rPr>
                <w:rFonts w:ascii="Times New Roman" w:hAnsi="Times New Roman" w:eastAsia="方正仿宋_GBK" w:cs="Times New Roman"/>
                <w:color w:val="auto"/>
                <w:kern w:val="0"/>
                <w:szCs w:val="21"/>
                <w:highlight w:val="none"/>
                <w14:ligatures w14:val="none"/>
              </w:rPr>
              <w:t>运输</w:t>
            </w:r>
          </w:p>
          <w:p w14:paraId="49C6D6C2">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经办人</w:t>
            </w:r>
          </w:p>
        </w:tc>
      </w:tr>
      <w:tr w14:paraId="6FECB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078" w:type="dxa"/>
            <w:vAlign w:val="center"/>
          </w:tcPr>
          <w:p w14:paraId="360177D0">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79" w:type="dxa"/>
            <w:vAlign w:val="center"/>
          </w:tcPr>
          <w:p w14:paraId="4275BE34">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88" w:type="dxa"/>
            <w:vAlign w:val="center"/>
          </w:tcPr>
          <w:p w14:paraId="5E6DF889">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3DAFABEF">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45CF0DD6">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503343BA">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193FFF33">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14:paraId="46E21E43">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5044A3F3">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655556EE">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368D37A7">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73322F1D">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74464A73">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14:paraId="31EB8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078" w:type="dxa"/>
            <w:vAlign w:val="center"/>
          </w:tcPr>
          <w:p w14:paraId="65DF6E53">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79" w:type="dxa"/>
            <w:vAlign w:val="center"/>
          </w:tcPr>
          <w:p w14:paraId="1CC9FFEB">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88" w:type="dxa"/>
            <w:vAlign w:val="center"/>
          </w:tcPr>
          <w:p w14:paraId="41312B99">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49F30636">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1C2FE491">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3CA762CB">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165C963E">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14:paraId="0533D985">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74FF3A2A">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11960EC1">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6ABE5B16">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47C46911">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599CD017">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14:paraId="6B621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078" w:type="dxa"/>
            <w:vAlign w:val="center"/>
          </w:tcPr>
          <w:p w14:paraId="42ECDE5B">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79" w:type="dxa"/>
            <w:vAlign w:val="center"/>
          </w:tcPr>
          <w:p w14:paraId="371927E5">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88" w:type="dxa"/>
            <w:vAlign w:val="center"/>
          </w:tcPr>
          <w:p w14:paraId="127AB3E1">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45775536">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3ECCBE2C">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649F57BD">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2AE3687F">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14:paraId="59A749AB">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005F974A">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23C5C46B">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5DFBEE65">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7002A90F">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3C88F1DE">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bl>
    <w:p w14:paraId="4CDBD792">
      <w:pPr>
        <w:widowControl w:val="0"/>
        <w:adjustRightInd/>
        <w:snapToGrid w:val="0"/>
        <w:jc w:val="left"/>
        <w:rPr>
          <w:rFonts w:ascii="Times New Roman" w:hAnsi="Times New Roman" w:eastAsia="方正仿宋_GBK" w:cs="Times New Roman"/>
          <w:color w:val="auto"/>
          <w:kern w:val="0"/>
          <w:sz w:val="18"/>
          <w:szCs w:val="18"/>
          <w:highlight w:val="none"/>
          <w:lang w:bidi="ar"/>
        </w:rPr>
      </w:pPr>
    </w:p>
    <w:p w14:paraId="411E3ECE">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 w:val="18"/>
          <w:szCs w:val="18"/>
          <w:highlight w:val="none"/>
          <w:lang w:bidi="ar"/>
        </w:rPr>
        <w:t>注：</w:t>
      </w:r>
    </w:p>
    <w:p w14:paraId="7BF810F8">
      <w:pPr>
        <w:widowControl w:val="0"/>
        <w:adjustRightInd/>
        <w:snapToGrid w:val="0"/>
        <w:jc w:val="left"/>
        <w:rPr>
          <w:rFonts w:ascii="Times New Roman" w:hAnsi="Times New Roman" w:eastAsia="方正仿宋_GBK" w:cs="Times New Roman"/>
          <w:b/>
          <w:bCs/>
          <w:color w:val="auto"/>
          <w:kern w:val="0"/>
          <w:szCs w:val="21"/>
          <w:highlight w:val="none"/>
          <w:lang w:bidi="ar"/>
        </w:rPr>
      </w:pPr>
      <w:r>
        <w:rPr>
          <w:rFonts w:ascii="Times New Roman" w:hAnsi="Times New Roman" w:eastAsia="方正仿宋_GBK" w:cs="Times New Roman"/>
          <w:b/>
          <w:bCs/>
          <w:color w:val="auto"/>
          <w:kern w:val="0"/>
          <w:szCs w:val="21"/>
          <w:highlight w:val="none"/>
          <w:lang w:bidi="ar"/>
        </w:rPr>
        <w:t>1.记录表编号：可采用</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贮存</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首字母加年月日再加编号的方式设计，例如</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ZC202</w:t>
      </w:r>
      <w:r>
        <w:rPr>
          <w:rFonts w:hint="eastAsia" w:ascii="Times New Roman" w:hAnsi="Times New Roman" w:eastAsia="方正仿宋_GBK" w:cs="Times New Roman"/>
          <w:b/>
          <w:bCs/>
          <w:color w:val="auto"/>
          <w:kern w:val="0"/>
          <w:szCs w:val="21"/>
          <w:highlight w:val="none"/>
          <w:lang w:val="en-US" w:eastAsia="zh-CN" w:bidi="ar"/>
        </w:rPr>
        <w:t>4</w:t>
      </w:r>
      <w:r>
        <w:rPr>
          <w:rFonts w:ascii="Times New Roman" w:hAnsi="Times New Roman" w:eastAsia="方正仿宋_GBK" w:cs="Times New Roman"/>
          <w:b/>
          <w:bCs/>
          <w:color w:val="auto"/>
          <w:kern w:val="0"/>
          <w:szCs w:val="21"/>
          <w:highlight w:val="none"/>
          <w:lang w:bidi="ar"/>
        </w:rPr>
        <w:t>1</w:t>
      </w:r>
      <w:r>
        <w:rPr>
          <w:rFonts w:hint="eastAsia" w:ascii="Times New Roman" w:hAnsi="Times New Roman" w:eastAsia="方正仿宋_GBK" w:cs="Times New Roman"/>
          <w:b/>
          <w:bCs/>
          <w:color w:val="auto"/>
          <w:kern w:val="0"/>
          <w:szCs w:val="21"/>
          <w:highlight w:val="none"/>
          <w:lang w:val="en-US" w:eastAsia="zh-CN" w:bidi="ar"/>
        </w:rPr>
        <w:t>0</w:t>
      </w:r>
      <w:r>
        <w:rPr>
          <w:rFonts w:ascii="Times New Roman" w:hAnsi="Times New Roman" w:eastAsia="方正仿宋_GBK" w:cs="Times New Roman"/>
          <w:b/>
          <w:bCs/>
          <w:color w:val="auto"/>
          <w:kern w:val="0"/>
          <w:szCs w:val="21"/>
          <w:highlight w:val="none"/>
          <w:lang w:bidi="ar"/>
        </w:rPr>
        <w:t>2001</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，也可根据需要自行设计。</w:t>
      </w:r>
    </w:p>
    <w:p w14:paraId="58BC15F0">
      <w:pPr>
        <w:widowControl w:val="0"/>
        <w:adjustRightInd/>
        <w:snapToGrid w:val="0"/>
        <w:jc w:val="left"/>
        <w:rPr>
          <w:rFonts w:ascii="Times New Roman" w:hAnsi="Times New Roman" w:eastAsia="方正仿宋_GBK" w:cs="Times New Roman"/>
          <w:b/>
          <w:bCs/>
          <w:color w:val="auto"/>
          <w:kern w:val="0"/>
          <w:szCs w:val="21"/>
          <w:highlight w:val="none"/>
          <w:lang w:bidi="ar"/>
        </w:rPr>
      </w:pPr>
      <w:r>
        <w:rPr>
          <w:rFonts w:ascii="Times New Roman" w:hAnsi="Times New Roman" w:eastAsia="方正仿宋_GBK" w:cs="Times New Roman"/>
          <w:b/>
          <w:bCs/>
          <w:color w:val="auto"/>
          <w:kern w:val="0"/>
          <w:szCs w:val="21"/>
          <w:highlight w:val="none"/>
          <w:lang w:bidi="ar"/>
        </w:rPr>
        <w:t>2.贮存设施编码：填写排污许可证载明的设施编码，无编码的依据HJ608自行编码。</w:t>
      </w:r>
    </w:p>
    <w:p w14:paraId="14A5F225">
      <w:pPr>
        <w:widowControl w:val="0"/>
        <w:adjustRightInd/>
        <w:snapToGrid w:val="0"/>
        <w:jc w:val="left"/>
        <w:rPr>
          <w:rFonts w:ascii="Times New Roman" w:hAnsi="Times New Roman" w:eastAsia="方正仿宋_GBK" w:cs="Times New Roman"/>
          <w:b/>
          <w:bCs/>
          <w:color w:val="auto"/>
          <w:kern w:val="0"/>
          <w:szCs w:val="21"/>
          <w:highlight w:val="none"/>
          <w:lang w:bidi="ar"/>
        </w:rPr>
      </w:pPr>
      <w:r>
        <w:rPr>
          <w:rFonts w:ascii="Times New Roman" w:hAnsi="Times New Roman" w:eastAsia="方正仿宋_GBK" w:cs="Times New Roman"/>
          <w:b/>
          <w:bCs/>
          <w:color w:val="auto"/>
          <w:kern w:val="0"/>
          <w:szCs w:val="21"/>
          <w:highlight w:val="none"/>
          <w:lang w:bidi="ar"/>
        </w:rPr>
        <w:t>3.废物来源：填写废物移出设施（废物产生设施或贮存设施）的编码和名称。</w:t>
      </w:r>
    </w:p>
    <w:p w14:paraId="0AD334F5">
      <w:pPr>
        <w:widowControl w:val="0"/>
        <w:adjustRightInd/>
        <w:snapToGrid w:val="0"/>
        <w:jc w:val="left"/>
        <w:rPr>
          <w:rFonts w:ascii="Times New Roman" w:hAnsi="Times New Roman" w:eastAsia="方正仿宋_GBK" w:cs="Times New Roman"/>
          <w:b/>
          <w:bCs/>
          <w:color w:val="auto"/>
          <w:kern w:val="0"/>
          <w:szCs w:val="21"/>
          <w:highlight w:val="none"/>
          <w:lang w:bidi="ar"/>
        </w:rPr>
      </w:pPr>
      <w:r>
        <w:rPr>
          <w:rFonts w:ascii="Times New Roman" w:hAnsi="Times New Roman" w:eastAsia="方正仿宋_GBK" w:cs="Times New Roman"/>
          <w:b/>
          <w:bCs/>
          <w:color w:val="auto"/>
          <w:kern w:val="0"/>
          <w:szCs w:val="21"/>
          <w:highlight w:val="none"/>
          <w:lang w:bidi="ar"/>
        </w:rPr>
        <w:t>4.前序表单编号：如废物来自生产环节，则填写《一般工业固体废物产生环节记录表》的记录表编号；如废物来自贮存环节，则填写本记录表编号。</w:t>
      </w:r>
    </w:p>
    <w:p w14:paraId="7E070FD9">
      <w:pPr>
        <w:rPr>
          <w:rFonts w:ascii="Times New Roman" w:hAnsi="Times New Roman" w:eastAsia="方正仿宋_GBK" w:cs="Times New Roman"/>
          <w:b/>
          <w:bCs/>
          <w:color w:val="auto"/>
          <w:kern w:val="0"/>
          <w:szCs w:val="21"/>
          <w:highlight w:val="none"/>
          <w:lang w:bidi="ar"/>
        </w:rPr>
      </w:pPr>
      <w:r>
        <w:rPr>
          <w:rFonts w:ascii="Times New Roman" w:hAnsi="Times New Roman" w:eastAsia="方正仿宋_GBK" w:cs="Times New Roman"/>
          <w:b/>
          <w:bCs/>
          <w:color w:val="auto"/>
          <w:kern w:val="0"/>
          <w:szCs w:val="21"/>
          <w:highlight w:val="none"/>
          <w:lang w:bidi="ar"/>
        </w:rPr>
        <w:t>5.如废物为连续产生且经过皮带、管道等方式自动入库而无废物运输经办人，则运输经办人可不填，入库时间可按日计。</w:t>
      </w:r>
    </w:p>
    <w:p w14:paraId="28E86732">
      <w:pPr>
        <w:rPr>
          <w:rFonts w:ascii="Times New Roman" w:hAnsi="Times New Roman" w:eastAsia="方正仿宋_GBK" w:cs="Times New Roman"/>
          <w:b/>
          <w:bCs/>
          <w:color w:val="auto"/>
          <w:kern w:val="0"/>
          <w:szCs w:val="21"/>
          <w:highlight w:val="none"/>
          <w:lang w:bidi="ar"/>
        </w:rPr>
      </w:pPr>
      <w:r>
        <w:rPr>
          <w:rFonts w:ascii="Times New Roman" w:hAnsi="Times New Roman" w:eastAsia="方正仿宋_GBK" w:cs="Times New Roman"/>
          <w:b/>
          <w:bCs/>
          <w:color w:val="auto"/>
          <w:kern w:val="0"/>
          <w:szCs w:val="21"/>
          <w:highlight w:val="none"/>
          <w:lang w:bidi="ar"/>
        </w:rPr>
        <w:br w:type="page"/>
      </w:r>
    </w:p>
    <w:p w14:paraId="50DA8577">
      <w:pPr>
        <w:keepNext w:val="0"/>
        <w:keepLines w:val="0"/>
        <w:widowControl w:val="0"/>
        <w:suppressLineNumbers w:val="0"/>
        <w:adjustRightInd/>
        <w:snapToGrid w:val="0"/>
        <w:spacing w:line="600" w:lineRule="atLeast"/>
        <w:jc w:val="both"/>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附表6.1（选填）</w:t>
      </w:r>
    </w:p>
    <w:p w14:paraId="07D64281">
      <w:pPr>
        <w:keepNext w:val="0"/>
        <w:keepLines w:val="0"/>
        <w:pageBreakBefore w:val="0"/>
        <w:widowControl w:val="0"/>
        <w:kinsoku w:val="0"/>
        <w:wordWrap/>
        <w:overflowPunct/>
        <w:topLinePunct w:val="0"/>
        <w:autoSpaceDE/>
        <w:autoSpaceDN/>
        <w:bidi w:val="0"/>
        <w:adjustRightInd/>
        <w:snapToGrid w:val="0"/>
        <w:spacing w:before="0" w:beforeLines="0" w:after="0" w:afterLines="0" w:line="600" w:lineRule="atLeast"/>
        <w:jc w:val="center"/>
        <w:textAlignment w:val="baseline"/>
        <w:rPr>
          <w:rFonts w:hint="eastAsia" w:ascii="方正黑体_GBK" w:hAnsi="方正黑体_GBK" w:eastAsia="方正黑体_GBK" w:cs="方正黑体_GBK"/>
          <w:color w:val="auto"/>
          <w:sz w:val="32"/>
          <w:szCs w:val="32"/>
          <w:highlight w:val="none"/>
          <w:lang w:eastAsia="en-US"/>
        </w:rPr>
      </w:pPr>
      <w:r>
        <w:rPr>
          <w:rFonts w:hint="eastAsia" w:ascii="方正黑体_GBK" w:hAnsi="方正黑体_GBK" w:eastAsia="方正黑体_GBK" w:cs="方正黑体_GBK"/>
          <w:color w:val="auto"/>
          <w:sz w:val="32"/>
          <w:szCs w:val="32"/>
          <w:highlight w:val="none"/>
          <w:lang w:eastAsia="en-US"/>
        </w:rPr>
        <w:t>一般工业固体废物自行利用环节记录表（接收）</w:t>
      </w:r>
    </w:p>
    <w:p w14:paraId="67C617C5">
      <w:pPr>
        <w:adjustRightInd/>
        <w:snapToGrid w:val="0"/>
        <w:spacing w:line="560" w:lineRule="exact"/>
        <w:ind w:firstLine="640" w:firstLineChars="200"/>
        <w:jc w:val="center"/>
        <w:rPr>
          <w:rFonts w:ascii="Times New Roman" w:hAnsi="Times New Roman" w:eastAsia="黑体" w:cs="Times New Roman"/>
          <w:color w:val="auto"/>
          <w:sz w:val="32"/>
          <w:szCs w:val="32"/>
          <w:highlight w:val="none"/>
        </w:rPr>
      </w:pPr>
    </w:p>
    <w:p w14:paraId="4DE97A9A">
      <w:pPr>
        <w:widowControl w:val="0"/>
        <w:adjustRightInd/>
        <w:snapToGrid w:val="0"/>
        <w:jc w:val="left"/>
        <w:rPr>
          <w:rFonts w:ascii="Times New Roman" w:hAnsi="Times New Roman" w:eastAsia="方正仿宋_GBK" w:cs="Times New Roman"/>
          <w:color w:val="auto"/>
          <w:highlight w:val="none"/>
        </w:rPr>
      </w:pPr>
      <w:r>
        <w:rPr>
          <w:rFonts w:ascii="Times New Roman" w:hAnsi="Times New Roman" w:eastAsia="方正仿宋_GBK" w:cs="Times New Roman"/>
          <w:color w:val="auto"/>
          <w:kern w:val="0"/>
          <w:szCs w:val="21"/>
          <w:highlight w:val="none"/>
          <w:lang w:bidi="ar"/>
        </w:rPr>
        <w:t xml:space="preserve">记录表编号：   </w:t>
      </w:r>
      <w:r>
        <w:rPr>
          <w:rFonts w:hint="eastAsia" w:ascii="Times New Roman" w:hAnsi="Times New Roman" w:eastAsia="方正仿宋_GBK" w:cs="Times New Roman"/>
          <w:color w:val="auto"/>
          <w:kern w:val="0"/>
          <w:szCs w:val="21"/>
          <w:highlight w:val="none"/>
          <w:lang w:val="en-US" w:eastAsia="zh-CN" w:bidi="ar"/>
        </w:rPr>
        <w:t xml:space="preserve">             </w:t>
      </w:r>
      <w:r>
        <w:rPr>
          <w:rFonts w:ascii="Times New Roman" w:hAnsi="Times New Roman" w:eastAsia="方正仿宋_GBK" w:cs="Times New Roman"/>
          <w:color w:val="auto"/>
          <w:kern w:val="0"/>
          <w:szCs w:val="21"/>
          <w:highlight w:val="none"/>
          <w:lang w:bidi="ar"/>
        </w:rPr>
        <w:t xml:space="preserve">    </w:t>
      </w:r>
      <w:r>
        <w:rPr>
          <w:rFonts w:hint="eastAsia" w:ascii="Times New Roman" w:hAnsi="Times New Roman" w:eastAsia="方正仿宋_GBK" w:cs="Times New Roman"/>
          <w:color w:val="auto"/>
          <w:kern w:val="0"/>
          <w:szCs w:val="21"/>
          <w:highlight w:val="none"/>
          <w:lang w:val="en-US" w:eastAsia="zh-CN" w:bidi="ar"/>
        </w:rPr>
        <w:t>自行利用</w:t>
      </w:r>
      <w:r>
        <w:rPr>
          <w:rFonts w:ascii="Times New Roman" w:hAnsi="Times New Roman" w:eastAsia="方正仿宋_GBK" w:cs="Times New Roman"/>
          <w:color w:val="auto"/>
          <w:kern w:val="0"/>
          <w:szCs w:val="21"/>
          <w:highlight w:val="none"/>
          <w:lang w:bidi="ar"/>
        </w:rPr>
        <w:t xml:space="preserve">设施编码：   </w:t>
      </w:r>
      <w:r>
        <w:rPr>
          <w:rFonts w:hint="eastAsia" w:ascii="Times New Roman" w:hAnsi="Times New Roman" w:eastAsia="方正仿宋_GBK" w:cs="Times New Roman"/>
          <w:color w:val="auto"/>
          <w:kern w:val="0"/>
          <w:szCs w:val="21"/>
          <w:highlight w:val="none"/>
          <w:lang w:val="en-US" w:eastAsia="zh-CN" w:bidi="ar"/>
        </w:rPr>
        <w:t xml:space="preserve">             </w:t>
      </w:r>
      <w:r>
        <w:rPr>
          <w:rFonts w:ascii="Times New Roman" w:hAnsi="Times New Roman" w:eastAsia="方正仿宋_GBK" w:cs="Times New Roman"/>
          <w:color w:val="auto"/>
          <w:kern w:val="0"/>
          <w:szCs w:val="21"/>
          <w:highlight w:val="none"/>
          <w:lang w:bidi="ar"/>
        </w:rPr>
        <w:t xml:space="preserve">    </w:t>
      </w:r>
      <w:r>
        <w:rPr>
          <w:rFonts w:hint="eastAsia" w:ascii="Times New Roman" w:hAnsi="Times New Roman" w:eastAsia="方正仿宋_GBK" w:cs="Times New Roman"/>
          <w:color w:val="auto"/>
          <w:kern w:val="0"/>
          <w:szCs w:val="21"/>
          <w:highlight w:val="none"/>
          <w:lang w:val="en-US" w:eastAsia="zh-CN" w:bidi="ar"/>
        </w:rPr>
        <w:t>自行利用</w:t>
      </w:r>
      <w:r>
        <w:rPr>
          <w:rFonts w:ascii="Times New Roman" w:hAnsi="Times New Roman" w:eastAsia="方正仿宋_GBK" w:cs="Times New Roman"/>
          <w:color w:val="auto"/>
          <w:kern w:val="0"/>
          <w:szCs w:val="21"/>
          <w:highlight w:val="none"/>
          <w:lang w:bidi="ar"/>
        </w:rPr>
        <w:t xml:space="preserve">部门负责人：   </w:t>
      </w:r>
      <w:r>
        <w:rPr>
          <w:rFonts w:hint="eastAsia" w:ascii="Times New Roman" w:hAnsi="Times New Roman" w:eastAsia="方正仿宋_GBK" w:cs="Times New Roman"/>
          <w:color w:val="auto"/>
          <w:kern w:val="0"/>
          <w:szCs w:val="21"/>
          <w:highlight w:val="none"/>
          <w:lang w:val="en-US" w:eastAsia="zh-CN" w:bidi="ar"/>
        </w:rPr>
        <w:t xml:space="preserve">             </w:t>
      </w:r>
      <w:r>
        <w:rPr>
          <w:rFonts w:ascii="Times New Roman" w:hAnsi="Times New Roman" w:eastAsia="方正仿宋_GBK" w:cs="Times New Roman"/>
          <w:color w:val="auto"/>
          <w:kern w:val="0"/>
          <w:szCs w:val="21"/>
          <w:highlight w:val="none"/>
          <w:lang w:bidi="ar"/>
        </w:rPr>
        <w:t xml:space="preserve">    填表日期：</w:t>
      </w:r>
    </w:p>
    <w:tbl>
      <w:tblPr>
        <w:tblStyle w:val="9"/>
        <w:tblpPr w:leftFromText="180" w:rightFromText="180" w:vertAnchor="text" w:horzAnchor="page" w:tblpX="1626" w:tblpY="99"/>
        <w:tblOverlap w:val="never"/>
        <w:tblW w:w="141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1770"/>
        <w:gridCol w:w="1771"/>
        <w:gridCol w:w="1771"/>
        <w:gridCol w:w="1771"/>
        <w:gridCol w:w="1771"/>
        <w:gridCol w:w="1771"/>
        <w:gridCol w:w="1776"/>
      </w:tblGrid>
      <w:tr w14:paraId="3E4C1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70" w:type="dxa"/>
            <w:vAlign w:val="center"/>
          </w:tcPr>
          <w:p w14:paraId="17187753">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废物来源</w:t>
            </w:r>
          </w:p>
        </w:tc>
        <w:tc>
          <w:tcPr>
            <w:tcW w:w="1770" w:type="dxa"/>
            <w:vAlign w:val="center"/>
          </w:tcPr>
          <w:p w14:paraId="7EB46C23">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前序表单编号</w:t>
            </w:r>
          </w:p>
        </w:tc>
        <w:tc>
          <w:tcPr>
            <w:tcW w:w="1771" w:type="dxa"/>
            <w:vAlign w:val="center"/>
          </w:tcPr>
          <w:p w14:paraId="077B6007">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代码</w:t>
            </w:r>
          </w:p>
        </w:tc>
        <w:tc>
          <w:tcPr>
            <w:tcW w:w="1771" w:type="dxa"/>
            <w:vAlign w:val="center"/>
          </w:tcPr>
          <w:p w14:paraId="0BB4A46A">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名称</w:t>
            </w:r>
          </w:p>
        </w:tc>
        <w:tc>
          <w:tcPr>
            <w:tcW w:w="1771" w:type="dxa"/>
            <w:vAlign w:val="center"/>
          </w:tcPr>
          <w:p w14:paraId="5544D32E">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接收时间</w:t>
            </w:r>
          </w:p>
        </w:tc>
        <w:tc>
          <w:tcPr>
            <w:tcW w:w="1771" w:type="dxa"/>
            <w:vAlign w:val="center"/>
          </w:tcPr>
          <w:p w14:paraId="3AB49246">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接收数量（吨）</w:t>
            </w:r>
          </w:p>
        </w:tc>
        <w:tc>
          <w:tcPr>
            <w:tcW w:w="1771" w:type="dxa"/>
            <w:vAlign w:val="center"/>
          </w:tcPr>
          <w:p w14:paraId="499D524B">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运输经办人</w:t>
            </w:r>
          </w:p>
        </w:tc>
        <w:tc>
          <w:tcPr>
            <w:tcW w:w="1776" w:type="dxa"/>
            <w:vAlign w:val="center"/>
          </w:tcPr>
          <w:p w14:paraId="29DD9D1C">
            <w:pPr>
              <w:adjustRightInd/>
              <w:snapToGrid w:val="0"/>
              <w:spacing w:line="240" w:lineRule="exact"/>
              <w:jc w:val="center"/>
              <w:rPr>
                <w:rFonts w:ascii="Times New Roman" w:hAnsi="Times New Roman" w:eastAsia="方正仿宋_GBK" w:cs="Times New Roman"/>
                <w:color w:val="auto"/>
                <w:kern w:val="0"/>
                <w:szCs w:val="21"/>
                <w:highlight w:val="none"/>
                <w14:ligatures w14:val="none"/>
              </w:rPr>
            </w:pPr>
            <w:r>
              <w:rPr>
                <w:rFonts w:ascii="Times New Roman" w:hAnsi="Times New Roman" w:eastAsia="方正仿宋_GBK" w:cs="Times New Roman"/>
                <w:color w:val="auto"/>
                <w:kern w:val="0"/>
                <w:szCs w:val="21"/>
                <w:highlight w:val="none"/>
                <w14:ligatures w14:val="none"/>
              </w:rPr>
              <w:t>自行利用</w:t>
            </w:r>
          </w:p>
          <w:p w14:paraId="50BF84A7">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部门经办人</w:t>
            </w:r>
          </w:p>
        </w:tc>
      </w:tr>
      <w:tr w14:paraId="31BEC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70" w:type="dxa"/>
            <w:vAlign w:val="center"/>
          </w:tcPr>
          <w:p w14:paraId="7349A601">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0" w:type="dxa"/>
            <w:vAlign w:val="center"/>
          </w:tcPr>
          <w:p w14:paraId="2246FC2D">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5D69404D">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509E6310">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0A392F40">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06FCD523">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297F1692">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6" w:type="dxa"/>
            <w:vAlign w:val="center"/>
          </w:tcPr>
          <w:p w14:paraId="7471E194">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14:paraId="66802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70" w:type="dxa"/>
            <w:vAlign w:val="center"/>
          </w:tcPr>
          <w:p w14:paraId="2013235C">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0" w:type="dxa"/>
            <w:vAlign w:val="center"/>
          </w:tcPr>
          <w:p w14:paraId="026FB800">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17747825">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52364E94">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694E9723">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6C5ED19C">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76BE848D">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6" w:type="dxa"/>
            <w:vAlign w:val="center"/>
          </w:tcPr>
          <w:p w14:paraId="0876FF21">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14:paraId="6FCE7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70" w:type="dxa"/>
            <w:vAlign w:val="center"/>
          </w:tcPr>
          <w:p w14:paraId="63672A80">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0" w:type="dxa"/>
            <w:vAlign w:val="center"/>
          </w:tcPr>
          <w:p w14:paraId="73CB4365">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519361E9">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56D83CEB">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4C151BB3">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44482BC9">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489354C0">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6" w:type="dxa"/>
            <w:vAlign w:val="center"/>
          </w:tcPr>
          <w:p w14:paraId="34648207">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14:paraId="5AFAB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70" w:type="dxa"/>
            <w:vAlign w:val="center"/>
          </w:tcPr>
          <w:p w14:paraId="3A429A07">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0" w:type="dxa"/>
            <w:vAlign w:val="center"/>
          </w:tcPr>
          <w:p w14:paraId="18387BB0">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1E4F80A3">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239E9843">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78D0086C">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3DF9CB60">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2F93CCE9">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6" w:type="dxa"/>
            <w:vAlign w:val="center"/>
          </w:tcPr>
          <w:p w14:paraId="52ADF6E8">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bl>
    <w:p w14:paraId="30ED2258">
      <w:pPr>
        <w:widowControl w:val="0"/>
        <w:adjustRightInd/>
        <w:snapToGrid w:val="0"/>
        <w:jc w:val="left"/>
        <w:rPr>
          <w:rFonts w:ascii="Times New Roman" w:hAnsi="Times New Roman" w:eastAsia="方正仿宋_GBK" w:cs="Times New Roman"/>
          <w:color w:val="auto"/>
          <w:kern w:val="0"/>
          <w:sz w:val="18"/>
          <w:szCs w:val="18"/>
          <w:highlight w:val="none"/>
          <w:lang w:bidi="ar"/>
        </w:rPr>
      </w:pPr>
    </w:p>
    <w:p w14:paraId="6AF48C5B">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 w:val="18"/>
          <w:szCs w:val="18"/>
          <w:highlight w:val="none"/>
          <w:lang w:bidi="ar"/>
        </w:rPr>
        <w:t>注：</w:t>
      </w:r>
    </w:p>
    <w:p w14:paraId="04D6CBBC">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1.记录表编号：可采用</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接收</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首字母加年月日再加编号的方式设计，例如</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JS202</w:t>
      </w:r>
      <w:r>
        <w:rPr>
          <w:rFonts w:hint="eastAsia" w:ascii="Times New Roman" w:hAnsi="Times New Roman" w:eastAsia="方正仿宋_GBK" w:cs="Times New Roman"/>
          <w:b/>
          <w:bCs/>
          <w:color w:val="auto"/>
          <w:kern w:val="0"/>
          <w:szCs w:val="21"/>
          <w:highlight w:val="none"/>
          <w:lang w:val="en-US" w:eastAsia="zh-CN" w:bidi="ar"/>
        </w:rPr>
        <w:t>4</w:t>
      </w:r>
      <w:r>
        <w:rPr>
          <w:rFonts w:ascii="Times New Roman" w:hAnsi="Times New Roman" w:eastAsia="方正仿宋_GBK" w:cs="Times New Roman"/>
          <w:b/>
          <w:bCs/>
          <w:color w:val="auto"/>
          <w:kern w:val="0"/>
          <w:szCs w:val="21"/>
          <w:highlight w:val="none"/>
          <w:lang w:bidi="ar"/>
        </w:rPr>
        <w:t>1</w:t>
      </w:r>
      <w:r>
        <w:rPr>
          <w:rFonts w:hint="eastAsia" w:ascii="Times New Roman" w:hAnsi="Times New Roman" w:eastAsia="方正仿宋_GBK" w:cs="Times New Roman"/>
          <w:b/>
          <w:bCs/>
          <w:color w:val="auto"/>
          <w:kern w:val="0"/>
          <w:szCs w:val="21"/>
          <w:highlight w:val="none"/>
          <w:lang w:val="en-US" w:eastAsia="zh-CN" w:bidi="ar"/>
        </w:rPr>
        <w:t>0</w:t>
      </w:r>
      <w:r>
        <w:rPr>
          <w:rFonts w:ascii="Times New Roman" w:hAnsi="Times New Roman" w:eastAsia="方正仿宋_GBK" w:cs="Times New Roman"/>
          <w:b/>
          <w:bCs/>
          <w:color w:val="auto"/>
          <w:kern w:val="0"/>
          <w:szCs w:val="21"/>
          <w:highlight w:val="none"/>
          <w:lang w:bidi="ar"/>
        </w:rPr>
        <w:t>2001</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，也可根据需要自行设计。</w:t>
      </w:r>
    </w:p>
    <w:p w14:paraId="13962173">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2.自行利用设施编码：填写排污许可证载明的设施编码，无编码的依据HJ608自行编码。</w:t>
      </w:r>
    </w:p>
    <w:p w14:paraId="6F5A66D2">
      <w:pPr>
        <w:widowControl w:val="0"/>
        <w:adjustRightInd/>
        <w:snapToGrid w:val="0"/>
        <w:jc w:val="left"/>
        <w:rPr>
          <w:rFonts w:ascii="Times New Roman" w:hAnsi="Times New Roman" w:eastAsia="方正仿宋_GBK" w:cs="Times New Roman"/>
          <w:b/>
          <w:bCs/>
          <w:color w:val="auto"/>
          <w:kern w:val="0"/>
          <w:szCs w:val="21"/>
          <w:highlight w:val="none"/>
          <w:lang w:bidi="ar"/>
        </w:rPr>
      </w:pPr>
      <w:r>
        <w:rPr>
          <w:rFonts w:ascii="Times New Roman" w:hAnsi="Times New Roman" w:eastAsia="方正仿宋_GBK" w:cs="Times New Roman"/>
          <w:b/>
          <w:bCs/>
          <w:color w:val="auto"/>
          <w:kern w:val="0"/>
          <w:szCs w:val="21"/>
          <w:highlight w:val="none"/>
          <w:lang w:bidi="ar"/>
        </w:rPr>
        <w:t>3.前序表单编号：如废物来自生产环节，则填写《一般工业固体废物产生环节记录表》的记录表编号；如废物来自贮存环节，则填写《一般工业固体废物贮存环节记录表》的记录表编号。</w:t>
      </w:r>
    </w:p>
    <w:p w14:paraId="3B35479B">
      <w:pPr>
        <w:rPr>
          <w:rFonts w:ascii="Times New Roman" w:hAnsi="Times New Roman" w:eastAsia="方正仿宋_GBK" w:cs="Times New Roman"/>
          <w:b/>
          <w:bCs/>
          <w:color w:val="auto"/>
          <w:kern w:val="0"/>
          <w:szCs w:val="21"/>
          <w:highlight w:val="none"/>
          <w:lang w:bidi="ar"/>
        </w:rPr>
      </w:pPr>
      <w:r>
        <w:rPr>
          <w:rFonts w:ascii="Times New Roman" w:hAnsi="Times New Roman" w:eastAsia="方正仿宋_GBK" w:cs="Times New Roman"/>
          <w:b/>
          <w:bCs/>
          <w:color w:val="auto"/>
          <w:kern w:val="0"/>
          <w:szCs w:val="21"/>
          <w:highlight w:val="none"/>
          <w:lang w:bidi="ar"/>
        </w:rPr>
        <w:t>4.运输经办人：是指固体废物在厂内的运输经办人员。</w:t>
      </w:r>
    </w:p>
    <w:p w14:paraId="327CD382">
      <w:pPr>
        <w:rPr>
          <w:rFonts w:ascii="Times New Roman" w:hAnsi="Times New Roman" w:eastAsia="方正仿宋_GBK" w:cs="Times New Roman"/>
          <w:b/>
          <w:bCs/>
          <w:color w:val="auto"/>
          <w:kern w:val="0"/>
          <w:szCs w:val="21"/>
          <w:highlight w:val="none"/>
          <w:lang w:bidi="ar"/>
        </w:rPr>
      </w:pPr>
      <w:r>
        <w:rPr>
          <w:rFonts w:ascii="Times New Roman" w:hAnsi="Times New Roman" w:eastAsia="方正仿宋_GBK" w:cs="Times New Roman"/>
          <w:b/>
          <w:bCs/>
          <w:color w:val="auto"/>
          <w:kern w:val="0"/>
          <w:szCs w:val="21"/>
          <w:highlight w:val="none"/>
          <w:lang w:bidi="ar"/>
        </w:rPr>
        <w:br w:type="page"/>
      </w:r>
    </w:p>
    <w:p w14:paraId="25E08669">
      <w:pPr>
        <w:keepNext w:val="0"/>
        <w:keepLines w:val="0"/>
        <w:widowControl w:val="0"/>
        <w:suppressLineNumbers w:val="0"/>
        <w:adjustRightInd/>
        <w:snapToGrid w:val="0"/>
        <w:spacing w:line="600" w:lineRule="atLeast"/>
        <w:jc w:val="both"/>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附表6.2（选填）</w:t>
      </w:r>
    </w:p>
    <w:p w14:paraId="3A0E6239">
      <w:pPr>
        <w:keepNext w:val="0"/>
        <w:keepLines w:val="0"/>
        <w:pageBreakBefore w:val="0"/>
        <w:widowControl w:val="0"/>
        <w:kinsoku w:val="0"/>
        <w:wordWrap/>
        <w:overflowPunct/>
        <w:topLinePunct w:val="0"/>
        <w:autoSpaceDE/>
        <w:autoSpaceDN/>
        <w:bidi w:val="0"/>
        <w:adjustRightInd/>
        <w:snapToGrid w:val="0"/>
        <w:spacing w:before="0" w:beforeLines="0" w:after="0" w:afterLines="0" w:line="600" w:lineRule="atLeast"/>
        <w:jc w:val="center"/>
        <w:textAlignment w:val="baseline"/>
        <w:rPr>
          <w:rFonts w:hint="eastAsia" w:ascii="方正黑体_GBK" w:hAnsi="方正黑体_GBK" w:eastAsia="方正黑体_GBK" w:cs="方正黑体_GBK"/>
          <w:color w:val="auto"/>
          <w:sz w:val="32"/>
          <w:szCs w:val="32"/>
          <w:highlight w:val="none"/>
          <w:lang w:eastAsia="en-US"/>
        </w:rPr>
      </w:pPr>
      <w:r>
        <w:rPr>
          <w:rFonts w:hint="eastAsia" w:ascii="方正黑体_GBK" w:hAnsi="方正黑体_GBK" w:eastAsia="方正黑体_GBK" w:cs="方正黑体_GBK"/>
          <w:color w:val="auto"/>
          <w:sz w:val="32"/>
          <w:szCs w:val="32"/>
          <w:highlight w:val="none"/>
          <w:lang w:eastAsia="en-US"/>
        </w:rPr>
        <w:t>一般工业固体废物自行利用环节记录表（运出）</w:t>
      </w:r>
    </w:p>
    <w:p w14:paraId="68D6A4C9">
      <w:pPr>
        <w:keepNext w:val="0"/>
        <w:keepLines w:val="0"/>
        <w:pageBreakBefore w:val="0"/>
        <w:widowControl w:val="0"/>
        <w:kinsoku w:val="0"/>
        <w:wordWrap/>
        <w:overflowPunct/>
        <w:topLinePunct w:val="0"/>
        <w:autoSpaceDE/>
        <w:autoSpaceDN/>
        <w:bidi w:val="0"/>
        <w:adjustRightInd/>
        <w:snapToGrid w:val="0"/>
        <w:spacing w:before="0" w:beforeLines="0" w:after="0" w:afterLines="0" w:line="600" w:lineRule="atLeast"/>
        <w:jc w:val="center"/>
        <w:textAlignment w:val="baseline"/>
        <w:rPr>
          <w:rFonts w:ascii="Times New Roman" w:hAnsi="Times New Roman" w:eastAsia="方正仿宋_GBK" w:cs="Times New Roman"/>
          <w:color w:val="auto"/>
          <w:sz w:val="32"/>
          <w:szCs w:val="32"/>
          <w:highlight w:val="none"/>
        </w:rPr>
      </w:pPr>
    </w:p>
    <w:p w14:paraId="473614A0">
      <w:pPr>
        <w:widowControl w:val="0"/>
        <w:adjustRightInd/>
        <w:snapToGrid w:val="0"/>
        <w:jc w:val="left"/>
        <w:rPr>
          <w:rFonts w:ascii="Times New Roman" w:hAnsi="Times New Roman" w:eastAsia="方正仿宋_GBK" w:cs="Times New Roman"/>
          <w:color w:val="auto"/>
          <w:highlight w:val="none"/>
        </w:rPr>
      </w:pPr>
      <w:r>
        <w:rPr>
          <w:rFonts w:ascii="Times New Roman" w:hAnsi="Times New Roman" w:eastAsia="方正仿宋_GBK" w:cs="Times New Roman"/>
          <w:color w:val="auto"/>
          <w:kern w:val="0"/>
          <w:szCs w:val="21"/>
          <w:highlight w:val="none"/>
          <w:lang w:bidi="ar"/>
        </w:rPr>
        <w:t xml:space="preserve">记录表编号：   </w:t>
      </w:r>
      <w:r>
        <w:rPr>
          <w:rFonts w:hint="eastAsia" w:ascii="Times New Roman" w:hAnsi="Times New Roman" w:eastAsia="方正仿宋_GBK" w:cs="Times New Roman"/>
          <w:color w:val="auto"/>
          <w:kern w:val="0"/>
          <w:szCs w:val="21"/>
          <w:highlight w:val="none"/>
          <w:lang w:val="en-US" w:eastAsia="zh-CN" w:bidi="ar"/>
        </w:rPr>
        <w:t xml:space="preserve">             </w:t>
      </w:r>
      <w:r>
        <w:rPr>
          <w:rFonts w:ascii="Times New Roman" w:hAnsi="Times New Roman" w:eastAsia="方正仿宋_GBK" w:cs="Times New Roman"/>
          <w:color w:val="auto"/>
          <w:kern w:val="0"/>
          <w:szCs w:val="21"/>
          <w:highlight w:val="none"/>
          <w:lang w:bidi="ar"/>
        </w:rPr>
        <w:t xml:space="preserve">    </w:t>
      </w:r>
      <w:r>
        <w:rPr>
          <w:rFonts w:hint="eastAsia" w:ascii="Times New Roman" w:hAnsi="Times New Roman" w:eastAsia="方正仿宋_GBK" w:cs="Times New Roman"/>
          <w:color w:val="auto"/>
          <w:kern w:val="0"/>
          <w:szCs w:val="21"/>
          <w:highlight w:val="none"/>
          <w:lang w:val="en-US" w:eastAsia="zh-CN" w:bidi="ar"/>
        </w:rPr>
        <w:t>自行利用</w:t>
      </w:r>
      <w:r>
        <w:rPr>
          <w:rFonts w:ascii="Times New Roman" w:hAnsi="Times New Roman" w:eastAsia="方正仿宋_GBK" w:cs="Times New Roman"/>
          <w:color w:val="auto"/>
          <w:kern w:val="0"/>
          <w:szCs w:val="21"/>
          <w:highlight w:val="none"/>
          <w:lang w:bidi="ar"/>
        </w:rPr>
        <w:t xml:space="preserve">设施编码：   </w:t>
      </w:r>
      <w:r>
        <w:rPr>
          <w:rFonts w:hint="eastAsia" w:ascii="Times New Roman" w:hAnsi="Times New Roman" w:eastAsia="方正仿宋_GBK" w:cs="Times New Roman"/>
          <w:color w:val="auto"/>
          <w:kern w:val="0"/>
          <w:szCs w:val="21"/>
          <w:highlight w:val="none"/>
          <w:lang w:val="en-US" w:eastAsia="zh-CN" w:bidi="ar"/>
        </w:rPr>
        <w:t xml:space="preserve">             </w:t>
      </w:r>
      <w:r>
        <w:rPr>
          <w:rFonts w:ascii="Times New Roman" w:hAnsi="Times New Roman" w:eastAsia="方正仿宋_GBK" w:cs="Times New Roman"/>
          <w:color w:val="auto"/>
          <w:kern w:val="0"/>
          <w:szCs w:val="21"/>
          <w:highlight w:val="none"/>
          <w:lang w:bidi="ar"/>
        </w:rPr>
        <w:t xml:space="preserve">    </w:t>
      </w:r>
      <w:r>
        <w:rPr>
          <w:rFonts w:hint="eastAsia" w:ascii="Times New Roman" w:hAnsi="Times New Roman" w:eastAsia="方正仿宋_GBK" w:cs="Times New Roman"/>
          <w:color w:val="auto"/>
          <w:kern w:val="0"/>
          <w:szCs w:val="21"/>
          <w:highlight w:val="none"/>
          <w:lang w:val="en-US" w:eastAsia="zh-CN" w:bidi="ar"/>
        </w:rPr>
        <w:t>自行利用</w:t>
      </w:r>
      <w:r>
        <w:rPr>
          <w:rFonts w:ascii="Times New Roman" w:hAnsi="Times New Roman" w:eastAsia="方正仿宋_GBK" w:cs="Times New Roman"/>
          <w:color w:val="auto"/>
          <w:kern w:val="0"/>
          <w:szCs w:val="21"/>
          <w:highlight w:val="none"/>
          <w:lang w:bidi="ar"/>
        </w:rPr>
        <w:t xml:space="preserve">部门负责人：   </w:t>
      </w:r>
      <w:r>
        <w:rPr>
          <w:rFonts w:hint="eastAsia" w:ascii="Times New Roman" w:hAnsi="Times New Roman" w:eastAsia="方正仿宋_GBK" w:cs="Times New Roman"/>
          <w:color w:val="auto"/>
          <w:kern w:val="0"/>
          <w:szCs w:val="21"/>
          <w:highlight w:val="none"/>
          <w:lang w:val="en-US" w:eastAsia="zh-CN" w:bidi="ar"/>
        </w:rPr>
        <w:t xml:space="preserve">             </w:t>
      </w:r>
      <w:r>
        <w:rPr>
          <w:rFonts w:ascii="Times New Roman" w:hAnsi="Times New Roman" w:eastAsia="方正仿宋_GBK" w:cs="Times New Roman"/>
          <w:color w:val="auto"/>
          <w:kern w:val="0"/>
          <w:szCs w:val="21"/>
          <w:highlight w:val="none"/>
          <w:lang w:bidi="ar"/>
        </w:rPr>
        <w:t xml:space="preserve">    填表日期：</w:t>
      </w:r>
    </w:p>
    <w:tbl>
      <w:tblPr>
        <w:tblStyle w:val="9"/>
        <w:tblpPr w:leftFromText="180" w:rightFromText="180" w:vertAnchor="text" w:horzAnchor="page" w:tblpX="1626" w:tblpY="99"/>
        <w:tblOverlap w:val="never"/>
        <w:tblW w:w="141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1"/>
        <w:gridCol w:w="2361"/>
        <w:gridCol w:w="2361"/>
        <w:gridCol w:w="2361"/>
        <w:gridCol w:w="2362"/>
        <w:gridCol w:w="2362"/>
      </w:tblGrid>
      <w:tr w14:paraId="6F626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2361" w:type="dxa"/>
            <w:vAlign w:val="center"/>
          </w:tcPr>
          <w:p w14:paraId="47D38130">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利用产物名称</w:t>
            </w:r>
          </w:p>
        </w:tc>
        <w:tc>
          <w:tcPr>
            <w:tcW w:w="2361" w:type="dxa"/>
            <w:vAlign w:val="center"/>
          </w:tcPr>
          <w:p w14:paraId="3082FA8A">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运出时间</w:t>
            </w:r>
          </w:p>
        </w:tc>
        <w:tc>
          <w:tcPr>
            <w:tcW w:w="2361" w:type="dxa"/>
            <w:vAlign w:val="center"/>
          </w:tcPr>
          <w:p w14:paraId="0BA3558B">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运出数量（单位）</w:t>
            </w:r>
          </w:p>
        </w:tc>
        <w:tc>
          <w:tcPr>
            <w:tcW w:w="2361" w:type="dxa"/>
            <w:vAlign w:val="center"/>
          </w:tcPr>
          <w:p w14:paraId="00839704">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运出去向</w:t>
            </w:r>
          </w:p>
        </w:tc>
        <w:tc>
          <w:tcPr>
            <w:tcW w:w="2362" w:type="dxa"/>
            <w:vAlign w:val="center"/>
          </w:tcPr>
          <w:p w14:paraId="17DD69B3">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自行利用部门经办人</w:t>
            </w:r>
          </w:p>
        </w:tc>
        <w:tc>
          <w:tcPr>
            <w:tcW w:w="2362" w:type="dxa"/>
            <w:vAlign w:val="center"/>
          </w:tcPr>
          <w:p w14:paraId="60142835">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运输经办人</w:t>
            </w:r>
          </w:p>
        </w:tc>
      </w:tr>
      <w:tr w14:paraId="645D2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2361" w:type="dxa"/>
            <w:vAlign w:val="center"/>
          </w:tcPr>
          <w:p w14:paraId="6AFC8567">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1" w:type="dxa"/>
            <w:vAlign w:val="center"/>
          </w:tcPr>
          <w:p w14:paraId="3CF53698">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1" w:type="dxa"/>
            <w:vAlign w:val="center"/>
          </w:tcPr>
          <w:p w14:paraId="135B88F4">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1" w:type="dxa"/>
            <w:vAlign w:val="center"/>
          </w:tcPr>
          <w:p w14:paraId="41C97C52">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2" w:type="dxa"/>
            <w:vAlign w:val="center"/>
          </w:tcPr>
          <w:p w14:paraId="4A0EC4C8">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2" w:type="dxa"/>
            <w:vAlign w:val="center"/>
          </w:tcPr>
          <w:p w14:paraId="30191EF6">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14:paraId="7ED8D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2361" w:type="dxa"/>
            <w:vAlign w:val="center"/>
          </w:tcPr>
          <w:p w14:paraId="33FFDB95">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1" w:type="dxa"/>
            <w:vAlign w:val="center"/>
          </w:tcPr>
          <w:p w14:paraId="68B679EC">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1" w:type="dxa"/>
            <w:vAlign w:val="center"/>
          </w:tcPr>
          <w:p w14:paraId="672E8157">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1" w:type="dxa"/>
            <w:vAlign w:val="center"/>
          </w:tcPr>
          <w:p w14:paraId="4591D5A1">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2" w:type="dxa"/>
            <w:vAlign w:val="center"/>
          </w:tcPr>
          <w:p w14:paraId="066A50F3">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2" w:type="dxa"/>
            <w:vAlign w:val="center"/>
          </w:tcPr>
          <w:p w14:paraId="1F9EB869">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14:paraId="4F39A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2361" w:type="dxa"/>
            <w:vAlign w:val="center"/>
          </w:tcPr>
          <w:p w14:paraId="703E7C95">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1" w:type="dxa"/>
            <w:vAlign w:val="center"/>
          </w:tcPr>
          <w:p w14:paraId="0F1500C1">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1" w:type="dxa"/>
            <w:vAlign w:val="center"/>
          </w:tcPr>
          <w:p w14:paraId="35D3FFEF">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1" w:type="dxa"/>
            <w:vAlign w:val="center"/>
          </w:tcPr>
          <w:p w14:paraId="4EB9DDEC">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2" w:type="dxa"/>
            <w:vAlign w:val="center"/>
          </w:tcPr>
          <w:p w14:paraId="0106237A">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2" w:type="dxa"/>
            <w:vAlign w:val="center"/>
          </w:tcPr>
          <w:p w14:paraId="56A70AC0">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14:paraId="5EF8C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2361" w:type="dxa"/>
            <w:vAlign w:val="center"/>
          </w:tcPr>
          <w:p w14:paraId="7B63C62A">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1" w:type="dxa"/>
            <w:vAlign w:val="center"/>
          </w:tcPr>
          <w:p w14:paraId="1417A26C">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1" w:type="dxa"/>
            <w:vAlign w:val="center"/>
          </w:tcPr>
          <w:p w14:paraId="407252A5">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1" w:type="dxa"/>
            <w:vAlign w:val="center"/>
          </w:tcPr>
          <w:p w14:paraId="1B910738">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2" w:type="dxa"/>
            <w:vAlign w:val="center"/>
          </w:tcPr>
          <w:p w14:paraId="3F56E127">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2" w:type="dxa"/>
            <w:vAlign w:val="center"/>
          </w:tcPr>
          <w:p w14:paraId="2602A59D">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bl>
    <w:p w14:paraId="333212F2">
      <w:pPr>
        <w:widowControl w:val="0"/>
        <w:adjustRightInd/>
        <w:snapToGrid w:val="0"/>
        <w:jc w:val="left"/>
        <w:rPr>
          <w:rFonts w:ascii="Times New Roman" w:hAnsi="Times New Roman" w:eastAsia="方正仿宋_GBK" w:cs="Times New Roman"/>
          <w:color w:val="auto"/>
          <w:kern w:val="0"/>
          <w:sz w:val="18"/>
          <w:szCs w:val="18"/>
          <w:highlight w:val="none"/>
          <w:lang w:bidi="ar"/>
        </w:rPr>
      </w:pPr>
    </w:p>
    <w:p w14:paraId="076FBFF8">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 w:val="18"/>
          <w:szCs w:val="18"/>
          <w:highlight w:val="none"/>
          <w:lang w:bidi="ar"/>
        </w:rPr>
        <w:t>注：</w:t>
      </w:r>
    </w:p>
    <w:p w14:paraId="4332561B">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1.记录表编号：可采用</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运出</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首字母加年月日再加编号的方式设计，例如</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YC202</w:t>
      </w:r>
      <w:r>
        <w:rPr>
          <w:rFonts w:hint="eastAsia" w:ascii="Times New Roman" w:hAnsi="Times New Roman" w:eastAsia="方正仿宋_GBK" w:cs="Times New Roman"/>
          <w:b/>
          <w:bCs/>
          <w:color w:val="auto"/>
          <w:kern w:val="0"/>
          <w:szCs w:val="21"/>
          <w:highlight w:val="none"/>
          <w:lang w:val="en-US" w:eastAsia="zh-CN" w:bidi="ar"/>
        </w:rPr>
        <w:t>4</w:t>
      </w:r>
      <w:r>
        <w:rPr>
          <w:rFonts w:ascii="Times New Roman" w:hAnsi="Times New Roman" w:eastAsia="方正仿宋_GBK" w:cs="Times New Roman"/>
          <w:b/>
          <w:bCs/>
          <w:color w:val="auto"/>
          <w:kern w:val="0"/>
          <w:szCs w:val="21"/>
          <w:highlight w:val="none"/>
          <w:lang w:bidi="ar"/>
        </w:rPr>
        <w:t>1</w:t>
      </w:r>
      <w:r>
        <w:rPr>
          <w:rFonts w:hint="eastAsia" w:ascii="Times New Roman" w:hAnsi="Times New Roman" w:eastAsia="方正仿宋_GBK" w:cs="Times New Roman"/>
          <w:b/>
          <w:bCs/>
          <w:color w:val="auto"/>
          <w:kern w:val="0"/>
          <w:szCs w:val="21"/>
          <w:highlight w:val="none"/>
          <w:lang w:val="en-US" w:eastAsia="zh-CN" w:bidi="ar"/>
        </w:rPr>
        <w:t>0</w:t>
      </w:r>
      <w:r>
        <w:rPr>
          <w:rFonts w:ascii="Times New Roman" w:hAnsi="Times New Roman" w:eastAsia="方正仿宋_GBK" w:cs="Times New Roman"/>
          <w:b/>
          <w:bCs/>
          <w:color w:val="auto"/>
          <w:kern w:val="0"/>
          <w:szCs w:val="21"/>
          <w:highlight w:val="none"/>
          <w:lang w:bidi="ar"/>
        </w:rPr>
        <w:t>2001</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，也可根据需要自行设计。</w:t>
      </w:r>
    </w:p>
    <w:p w14:paraId="7D62EBF8">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2.运出去向：根据实际情况填写，利用产物可企业自用，也可对外销售等。</w:t>
      </w:r>
    </w:p>
    <w:p w14:paraId="64C272CF">
      <w:pPr>
        <w:rPr>
          <w:rFonts w:ascii="Times New Roman" w:hAnsi="Times New Roman" w:eastAsia="方正仿宋_GBK" w:cs="Times New Roman"/>
          <w:b/>
          <w:bCs/>
          <w:color w:val="auto"/>
          <w:kern w:val="0"/>
          <w:szCs w:val="21"/>
          <w:highlight w:val="none"/>
          <w:lang w:bidi="ar"/>
        </w:rPr>
      </w:pPr>
      <w:r>
        <w:rPr>
          <w:rFonts w:ascii="Times New Roman" w:hAnsi="Times New Roman" w:eastAsia="方正仿宋_GBK" w:cs="Times New Roman"/>
          <w:b/>
          <w:bCs/>
          <w:color w:val="auto"/>
          <w:kern w:val="0"/>
          <w:szCs w:val="21"/>
          <w:highlight w:val="none"/>
          <w:lang w:bidi="ar"/>
        </w:rPr>
        <w:t>3.运输经办人：可根据实际情况，填写厂内运输经办人或出厂运输经办人。</w:t>
      </w:r>
    </w:p>
    <w:p w14:paraId="64B0290E">
      <w:pPr>
        <w:rPr>
          <w:rFonts w:ascii="Times New Roman" w:hAnsi="Times New Roman" w:eastAsia="方正仿宋_GBK" w:cs="Times New Roman"/>
          <w:b/>
          <w:bCs/>
          <w:color w:val="auto"/>
          <w:kern w:val="0"/>
          <w:szCs w:val="21"/>
          <w:highlight w:val="none"/>
          <w:lang w:bidi="ar"/>
        </w:rPr>
      </w:pPr>
      <w:r>
        <w:rPr>
          <w:rFonts w:ascii="Times New Roman" w:hAnsi="Times New Roman" w:eastAsia="方正仿宋_GBK" w:cs="Times New Roman"/>
          <w:b/>
          <w:bCs/>
          <w:color w:val="auto"/>
          <w:kern w:val="0"/>
          <w:szCs w:val="21"/>
          <w:highlight w:val="none"/>
          <w:lang w:bidi="ar"/>
        </w:rPr>
        <w:br w:type="page"/>
      </w:r>
    </w:p>
    <w:p w14:paraId="1E87CA8B">
      <w:pPr>
        <w:keepNext w:val="0"/>
        <w:keepLines w:val="0"/>
        <w:widowControl w:val="0"/>
        <w:suppressLineNumbers w:val="0"/>
        <w:adjustRightInd/>
        <w:snapToGrid w:val="0"/>
        <w:spacing w:line="600" w:lineRule="atLeast"/>
        <w:jc w:val="both"/>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附表7（选填）</w:t>
      </w:r>
    </w:p>
    <w:p w14:paraId="10472C4D">
      <w:pPr>
        <w:keepNext w:val="0"/>
        <w:keepLines w:val="0"/>
        <w:pageBreakBefore w:val="0"/>
        <w:widowControl w:val="0"/>
        <w:kinsoku w:val="0"/>
        <w:wordWrap/>
        <w:overflowPunct/>
        <w:topLinePunct w:val="0"/>
        <w:autoSpaceDE/>
        <w:autoSpaceDN/>
        <w:bidi w:val="0"/>
        <w:adjustRightInd/>
        <w:snapToGrid w:val="0"/>
        <w:spacing w:before="0" w:beforeLines="0" w:after="0" w:afterLines="0" w:line="600" w:lineRule="atLeast"/>
        <w:jc w:val="center"/>
        <w:textAlignment w:val="baseline"/>
        <w:rPr>
          <w:rFonts w:hint="eastAsia" w:ascii="方正黑体_GBK" w:hAnsi="方正黑体_GBK" w:eastAsia="方正黑体_GBK" w:cs="方正黑体_GBK"/>
          <w:color w:val="auto"/>
          <w:sz w:val="32"/>
          <w:szCs w:val="32"/>
          <w:highlight w:val="none"/>
          <w:lang w:eastAsia="en-US"/>
        </w:rPr>
      </w:pPr>
      <w:r>
        <w:rPr>
          <w:rFonts w:hint="eastAsia" w:ascii="方正黑体_GBK" w:hAnsi="方正黑体_GBK" w:eastAsia="方正黑体_GBK" w:cs="方正黑体_GBK"/>
          <w:color w:val="auto"/>
          <w:sz w:val="32"/>
          <w:szCs w:val="32"/>
          <w:highlight w:val="none"/>
          <w:lang w:eastAsia="en-US"/>
        </w:rPr>
        <w:t>一般工业固体废物自行处置环节记录表</w:t>
      </w:r>
    </w:p>
    <w:p w14:paraId="1BB03488">
      <w:pPr>
        <w:adjustRightInd/>
        <w:snapToGrid w:val="0"/>
        <w:spacing w:line="600" w:lineRule="atLeast"/>
        <w:ind w:firstLine="640" w:firstLineChars="200"/>
        <w:jc w:val="center"/>
        <w:rPr>
          <w:rFonts w:ascii="Times New Roman" w:hAnsi="Times New Roman" w:eastAsia="方正仿宋_GBK" w:cs="Times New Roman"/>
          <w:color w:val="auto"/>
          <w:sz w:val="32"/>
          <w:szCs w:val="32"/>
          <w:highlight w:val="none"/>
        </w:rPr>
      </w:pPr>
    </w:p>
    <w:p w14:paraId="62901D3A">
      <w:pPr>
        <w:widowControl w:val="0"/>
        <w:adjustRightInd/>
        <w:snapToGrid w:val="0"/>
        <w:jc w:val="left"/>
        <w:rPr>
          <w:rFonts w:ascii="Times New Roman" w:hAnsi="Times New Roman" w:eastAsia="方正仿宋_GBK" w:cs="Times New Roman"/>
          <w:color w:val="auto"/>
          <w:highlight w:val="none"/>
        </w:rPr>
      </w:pPr>
      <w:r>
        <w:rPr>
          <w:rFonts w:ascii="Times New Roman" w:hAnsi="Times New Roman" w:eastAsia="方正仿宋_GBK" w:cs="Times New Roman"/>
          <w:color w:val="auto"/>
          <w:kern w:val="0"/>
          <w:szCs w:val="21"/>
          <w:highlight w:val="none"/>
          <w:lang w:bidi="ar"/>
        </w:rPr>
        <w:t xml:space="preserve">记录表编号：   </w:t>
      </w:r>
      <w:r>
        <w:rPr>
          <w:rFonts w:hint="eastAsia" w:ascii="Times New Roman" w:hAnsi="Times New Roman" w:eastAsia="方正仿宋_GBK" w:cs="Times New Roman"/>
          <w:color w:val="auto"/>
          <w:kern w:val="0"/>
          <w:szCs w:val="21"/>
          <w:highlight w:val="none"/>
          <w:lang w:val="en-US" w:eastAsia="zh-CN" w:bidi="ar"/>
        </w:rPr>
        <w:t xml:space="preserve">             </w:t>
      </w:r>
      <w:r>
        <w:rPr>
          <w:rFonts w:ascii="Times New Roman" w:hAnsi="Times New Roman" w:eastAsia="方正仿宋_GBK" w:cs="Times New Roman"/>
          <w:color w:val="auto"/>
          <w:kern w:val="0"/>
          <w:szCs w:val="21"/>
          <w:highlight w:val="none"/>
          <w:lang w:bidi="ar"/>
        </w:rPr>
        <w:t xml:space="preserve">    </w:t>
      </w:r>
      <w:r>
        <w:rPr>
          <w:rFonts w:hint="eastAsia" w:ascii="Times New Roman" w:hAnsi="Times New Roman" w:eastAsia="方正仿宋_GBK" w:cs="Times New Roman"/>
          <w:color w:val="auto"/>
          <w:kern w:val="0"/>
          <w:szCs w:val="21"/>
          <w:highlight w:val="none"/>
          <w:lang w:val="en-US" w:eastAsia="zh-CN" w:bidi="ar"/>
        </w:rPr>
        <w:t>自行处置</w:t>
      </w:r>
      <w:r>
        <w:rPr>
          <w:rFonts w:ascii="Times New Roman" w:hAnsi="Times New Roman" w:eastAsia="方正仿宋_GBK" w:cs="Times New Roman"/>
          <w:color w:val="auto"/>
          <w:kern w:val="0"/>
          <w:szCs w:val="21"/>
          <w:highlight w:val="none"/>
          <w:lang w:bidi="ar"/>
        </w:rPr>
        <w:t xml:space="preserve">设施编码：   </w:t>
      </w:r>
      <w:r>
        <w:rPr>
          <w:rFonts w:hint="eastAsia" w:ascii="Times New Roman" w:hAnsi="Times New Roman" w:eastAsia="方正仿宋_GBK" w:cs="Times New Roman"/>
          <w:color w:val="auto"/>
          <w:kern w:val="0"/>
          <w:szCs w:val="21"/>
          <w:highlight w:val="none"/>
          <w:lang w:val="en-US" w:eastAsia="zh-CN" w:bidi="ar"/>
        </w:rPr>
        <w:t xml:space="preserve">             </w:t>
      </w:r>
      <w:r>
        <w:rPr>
          <w:rFonts w:ascii="Times New Roman" w:hAnsi="Times New Roman" w:eastAsia="方正仿宋_GBK" w:cs="Times New Roman"/>
          <w:color w:val="auto"/>
          <w:kern w:val="0"/>
          <w:szCs w:val="21"/>
          <w:highlight w:val="none"/>
          <w:lang w:bidi="ar"/>
        </w:rPr>
        <w:t xml:space="preserve">    </w:t>
      </w:r>
      <w:r>
        <w:rPr>
          <w:rFonts w:hint="eastAsia" w:ascii="Times New Roman" w:hAnsi="Times New Roman" w:eastAsia="方正仿宋_GBK" w:cs="Times New Roman"/>
          <w:color w:val="auto"/>
          <w:kern w:val="0"/>
          <w:szCs w:val="21"/>
          <w:highlight w:val="none"/>
          <w:lang w:val="en-US" w:eastAsia="zh-CN" w:bidi="ar"/>
        </w:rPr>
        <w:t>自行处置</w:t>
      </w:r>
      <w:r>
        <w:rPr>
          <w:rFonts w:ascii="Times New Roman" w:hAnsi="Times New Roman" w:eastAsia="方正仿宋_GBK" w:cs="Times New Roman"/>
          <w:color w:val="auto"/>
          <w:kern w:val="0"/>
          <w:szCs w:val="21"/>
          <w:highlight w:val="none"/>
          <w:lang w:bidi="ar"/>
        </w:rPr>
        <w:t xml:space="preserve">部门负责人：   </w:t>
      </w:r>
      <w:r>
        <w:rPr>
          <w:rFonts w:hint="eastAsia" w:ascii="Times New Roman" w:hAnsi="Times New Roman" w:eastAsia="方正仿宋_GBK" w:cs="Times New Roman"/>
          <w:color w:val="auto"/>
          <w:kern w:val="0"/>
          <w:szCs w:val="21"/>
          <w:highlight w:val="none"/>
          <w:lang w:val="en-US" w:eastAsia="zh-CN" w:bidi="ar"/>
        </w:rPr>
        <w:t xml:space="preserve">             </w:t>
      </w:r>
      <w:r>
        <w:rPr>
          <w:rFonts w:ascii="Times New Roman" w:hAnsi="Times New Roman" w:eastAsia="方正仿宋_GBK" w:cs="Times New Roman"/>
          <w:color w:val="auto"/>
          <w:kern w:val="0"/>
          <w:szCs w:val="21"/>
          <w:highlight w:val="none"/>
          <w:lang w:bidi="ar"/>
        </w:rPr>
        <w:t xml:space="preserve">    填表日期：</w:t>
      </w:r>
    </w:p>
    <w:tbl>
      <w:tblPr>
        <w:tblStyle w:val="9"/>
        <w:tblpPr w:leftFromText="180" w:rightFromText="180" w:vertAnchor="text" w:horzAnchor="page" w:tblpX="1626" w:tblpY="99"/>
        <w:tblOverlap w:val="never"/>
        <w:tblW w:w="141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1770"/>
        <w:gridCol w:w="1771"/>
        <w:gridCol w:w="1771"/>
        <w:gridCol w:w="1771"/>
        <w:gridCol w:w="1771"/>
        <w:gridCol w:w="1771"/>
        <w:gridCol w:w="1776"/>
      </w:tblGrid>
      <w:tr w14:paraId="5967B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70" w:type="dxa"/>
            <w:vAlign w:val="center"/>
          </w:tcPr>
          <w:p w14:paraId="499EE7E2">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废物来源</w:t>
            </w:r>
          </w:p>
        </w:tc>
        <w:tc>
          <w:tcPr>
            <w:tcW w:w="1770" w:type="dxa"/>
            <w:vAlign w:val="center"/>
          </w:tcPr>
          <w:p w14:paraId="6B30269A">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前序表单编号</w:t>
            </w:r>
          </w:p>
        </w:tc>
        <w:tc>
          <w:tcPr>
            <w:tcW w:w="1771" w:type="dxa"/>
            <w:vAlign w:val="center"/>
          </w:tcPr>
          <w:p w14:paraId="598B85DA">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代码</w:t>
            </w:r>
          </w:p>
        </w:tc>
        <w:tc>
          <w:tcPr>
            <w:tcW w:w="1771" w:type="dxa"/>
            <w:vAlign w:val="center"/>
          </w:tcPr>
          <w:p w14:paraId="28DBA9E9">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名称</w:t>
            </w:r>
          </w:p>
        </w:tc>
        <w:tc>
          <w:tcPr>
            <w:tcW w:w="1771" w:type="dxa"/>
            <w:vAlign w:val="center"/>
          </w:tcPr>
          <w:p w14:paraId="2A448AAE">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接收时间</w:t>
            </w:r>
          </w:p>
        </w:tc>
        <w:tc>
          <w:tcPr>
            <w:tcW w:w="1771" w:type="dxa"/>
            <w:vAlign w:val="center"/>
          </w:tcPr>
          <w:p w14:paraId="4232AF96">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接收数量（吨）</w:t>
            </w:r>
          </w:p>
        </w:tc>
        <w:tc>
          <w:tcPr>
            <w:tcW w:w="1771" w:type="dxa"/>
            <w:vAlign w:val="center"/>
          </w:tcPr>
          <w:p w14:paraId="56140D70">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处置方式</w:t>
            </w:r>
          </w:p>
        </w:tc>
        <w:tc>
          <w:tcPr>
            <w:tcW w:w="1776" w:type="dxa"/>
            <w:vAlign w:val="center"/>
          </w:tcPr>
          <w:p w14:paraId="62443492">
            <w:pPr>
              <w:adjustRightInd/>
              <w:snapToGrid w:val="0"/>
              <w:spacing w:line="240" w:lineRule="exact"/>
              <w:jc w:val="center"/>
              <w:rPr>
                <w:rFonts w:ascii="Times New Roman" w:hAnsi="Times New Roman" w:eastAsia="方正仿宋_GBK" w:cs="Times New Roman"/>
                <w:color w:val="auto"/>
                <w:kern w:val="0"/>
                <w:szCs w:val="21"/>
                <w:highlight w:val="none"/>
                <w14:ligatures w14:val="none"/>
              </w:rPr>
            </w:pPr>
            <w:r>
              <w:rPr>
                <w:rFonts w:ascii="Times New Roman" w:hAnsi="Times New Roman" w:eastAsia="方正仿宋_GBK" w:cs="Times New Roman"/>
                <w:color w:val="auto"/>
                <w:kern w:val="0"/>
                <w:szCs w:val="21"/>
                <w:highlight w:val="none"/>
                <w14:ligatures w14:val="none"/>
              </w:rPr>
              <w:t>自行处置</w:t>
            </w:r>
          </w:p>
          <w:p w14:paraId="49307C1E">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部门经办人</w:t>
            </w:r>
          </w:p>
        </w:tc>
      </w:tr>
      <w:tr w14:paraId="2BF98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70" w:type="dxa"/>
            <w:vAlign w:val="center"/>
          </w:tcPr>
          <w:p w14:paraId="13E6CE2F">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0" w:type="dxa"/>
            <w:vAlign w:val="center"/>
          </w:tcPr>
          <w:p w14:paraId="1290CC70">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6A81F1F9">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71D3A2BD">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66C0AC58">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724BE59F">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2AEA888A">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6" w:type="dxa"/>
            <w:vAlign w:val="center"/>
          </w:tcPr>
          <w:p w14:paraId="553C0CF1">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14:paraId="56E51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70" w:type="dxa"/>
            <w:vAlign w:val="center"/>
          </w:tcPr>
          <w:p w14:paraId="301F7E86">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0" w:type="dxa"/>
            <w:vAlign w:val="center"/>
          </w:tcPr>
          <w:p w14:paraId="02FC3420">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0138368C">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51F67A1B">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6B33F70E">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55405542">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7DB0498F">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6" w:type="dxa"/>
            <w:vAlign w:val="center"/>
          </w:tcPr>
          <w:p w14:paraId="764AE76D">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14:paraId="251D9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70" w:type="dxa"/>
            <w:vAlign w:val="center"/>
          </w:tcPr>
          <w:p w14:paraId="00F0D345">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0" w:type="dxa"/>
            <w:vAlign w:val="center"/>
          </w:tcPr>
          <w:p w14:paraId="3FE3B189">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061710B8">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2DCCAA81">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79FD9D3C">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1A9D8FDA">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006E43E6">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6" w:type="dxa"/>
            <w:vAlign w:val="center"/>
          </w:tcPr>
          <w:p w14:paraId="5DAF1DE6">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14:paraId="3492A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70" w:type="dxa"/>
            <w:vAlign w:val="center"/>
          </w:tcPr>
          <w:p w14:paraId="44561F03">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0" w:type="dxa"/>
            <w:vAlign w:val="center"/>
          </w:tcPr>
          <w:p w14:paraId="14E0B94B">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362DB726">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1DEE8F8F">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302EF1F5">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16EB999B">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4F8F041D">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6" w:type="dxa"/>
            <w:vAlign w:val="center"/>
          </w:tcPr>
          <w:p w14:paraId="0C2F1011">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bl>
    <w:p w14:paraId="12EA124E">
      <w:pPr>
        <w:widowControl w:val="0"/>
        <w:adjustRightInd/>
        <w:snapToGrid w:val="0"/>
        <w:jc w:val="left"/>
        <w:rPr>
          <w:rFonts w:ascii="Times New Roman" w:hAnsi="Times New Roman" w:eastAsia="方正仿宋_GBK" w:cs="Times New Roman"/>
          <w:color w:val="auto"/>
          <w:kern w:val="0"/>
          <w:sz w:val="18"/>
          <w:szCs w:val="18"/>
          <w:highlight w:val="none"/>
          <w:lang w:bidi="ar"/>
        </w:rPr>
      </w:pPr>
    </w:p>
    <w:p w14:paraId="037EAC7F">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 w:val="18"/>
          <w:szCs w:val="18"/>
          <w:highlight w:val="none"/>
          <w:lang w:bidi="ar"/>
        </w:rPr>
        <w:t>注：</w:t>
      </w:r>
    </w:p>
    <w:p w14:paraId="4C325C7D">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1.记录表编号：可采用</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处置</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首字母加年月日再加编号的方式设计，例如</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CZ202</w:t>
      </w:r>
      <w:r>
        <w:rPr>
          <w:rFonts w:hint="eastAsia" w:ascii="Times New Roman" w:hAnsi="Times New Roman" w:eastAsia="方正仿宋_GBK" w:cs="Times New Roman"/>
          <w:b/>
          <w:bCs/>
          <w:color w:val="auto"/>
          <w:kern w:val="0"/>
          <w:szCs w:val="21"/>
          <w:highlight w:val="none"/>
          <w:lang w:val="en-US" w:eastAsia="zh-CN" w:bidi="ar"/>
        </w:rPr>
        <w:t>4</w:t>
      </w:r>
      <w:r>
        <w:rPr>
          <w:rFonts w:ascii="Times New Roman" w:hAnsi="Times New Roman" w:eastAsia="方正仿宋_GBK" w:cs="Times New Roman"/>
          <w:b/>
          <w:bCs/>
          <w:color w:val="auto"/>
          <w:kern w:val="0"/>
          <w:szCs w:val="21"/>
          <w:highlight w:val="none"/>
          <w:lang w:bidi="ar"/>
        </w:rPr>
        <w:t>1</w:t>
      </w:r>
      <w:r>
        <w:rPr>
          <w:rFonts w:hint="eastAsia" w:ascii="Times New Roman" w:hAnsi="Times New Roman" w:eastAsia="方正仿宋_GBK" w:cs="Times New Roman"/>
          <w:b/>
          <w:bCs/>
          <w:color w:val="auto"/>
          <w:kern w:val="0"/>
          <w:szCs w:val="21"/>
          <w:highlight w:val="none"/>
          <w:lang w:val="en-US" w:eastAsia="zh-CN" w:bidi="ar"/>
        </w:rPr>
        <w:t>0</w:t>
      </w:r>
      <w:r>
        <w:rPr>
          <w:rFonts w:ascii="Times New Roman" w:hAnsi="Times New Roman" w:eastAsia="方正仿宋_GBK" w:cs="Times New Roman"/>
          <w:b/>
          <w:bCs/>
          <w:color w:val="auto"/>
          <w:kern w:val="0"/>
          <w:szCs w:val="21"/>
          <w:highlight w:val="none"/>
          <w:lang w:bidi="ar"/>
        </w:rPr>
        <w:t>2001</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，也可根据需要自行设计。</w:t>
      </w:r>
    </w:p>
    <w:p w14:paraId="216ACD82">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2.自行处置设施编码：填写排污许可证载明的设施编码，无编码的依据HJ608自行编码。</w:t>
      </w:r>
    </w:p>
    <w:p w14:paraId="5D9613E5">
      <w:pPr>
        <w:rPr>
          <w:rFonts w:ascii="Times New Roman" w:hAnsi="Times New Roman" w:eastAsia="方正仿宋_GBK" w:cs="Times New Roman"/>
          <w:b/>
          <w:bCs/>
          <w:color w:val="auto"/>
          <w:kern w:val="0"/>
          <w:szCs w:val="21"/>
          <w:highlight w:val="none"/>
          <w:lang w:bidi="ar"/>
        </w:rPr>
        <w:sectPr>
          <w:headerReference r:id="rId10" w:type="default"/>
          <w:footerReference r:id="rId11" w:type="default"/>
          <w:pgSz w:w="16838" w:h="11906" w:orient="landscape"/>
          <w:pgMar w:top="1962" w:right="1474" w:bottom="1848" w:left="1587" w:header="851" w:footer="992" w:gutter="0"/>
          <w:pgNumType w:fmt="numberInDash"/>
          <w:cols w:space="0" w:num="1"/>
          <w:rtlGutter w:val="0"/>
          <w:docGrid w:type="lines" w:linePitch="316" w:charSpace="0"/>
        </w:sectPr>
      </w:pPr>
      <w:r>
        <w:rPr>
          <w:rFonts w:ascii="Times New Roman" w:hAnsi="Times New Roman" w:eastAsia="方正仿宋_GBK" w:cs="Times New Roman"/>
          <w:b/>
          <w:bCs/>
          <w:color w:val="auto"/>
          <w:kern w:val="0"/>
          <w:szCs w:val="21"/>
          <w:highlight w:val="none"/>
          <w:lang w:bidi="ar"/>
        </w:rPr>
        <w:t>3.前序表单编号：如废物来自生产环节，则填写附表4的记录表编号；如废物来自贮存环节，则填写附表5的记录表编号。</w:t>
      </w:r>
    </w:p>
    <w:p w14:paraId="55A81EAE">
      <w:pPr>
        <w:keepNext w:val="0"/>
        <w:keepLines w:val="0"/>
        <w:widowControl w:val="0"/>
        <w:suppressLineNumbers w:val="0"/>
        <w:adjustRightInd/>
        <w:snapToGrid w:val="0"/>
        <w:spacing w:line="600" w:lineRule="atLeast"/>
        <w:jc w:val="both"/>
        <w:rPr>
          <w:rFonts w:hint="eastAsia" w:ascii="方正黑体_GBK" w:hAnsi="方正黑体_GBK" w:eastAsia="方正黑体_GBK" w:cs="方正黑体_GBK"/>
          <w:b w:val="0"/>
          <w:bCs w:val="0"/>
          <w:color w:val="auto"/>
          <w:kern w:val="0"/>
          <w:sz w:val="32"/>
          <w:szCs w:val="32"/>
          <w:highlight w:val="none"/>
          <w:lang w:val="en-US" w:eastAsia="zh-CN" w:bidi="ar"/>
        </w:rPr>
      </w:pPr>
      <w:bookmarkStart w:id="0" w:name="_Toc164342930"/>
      <w:r>
        <w:rPr>
          <w:rFonts w:hint="eastAsia" w:ascii="方正黑体_GBK" w:hAnsi="方正黑体_GBK" w:eastAsia="方正黑体_GBK" w:cs="方正黑体_GBK"/>
          <w:b w:val="0"/>
          <w:bCs w:val="0"/>
          <w:color w:val="auto"/>
          <w:kern w:val="0"/>
          <w:sz w:val="32"/>
          <w:szCs w:val="32"/>
          <w:highlight w:val="none"/>
          <w:lang w:val="en-US" w:eastAsia="zh-CN" w:bidi="ar"/>
        </w:rPr>
        <w:t>附件5</w:t>
      </w:r>
    </w:p>
    <w:p w14:paraId="140518D6">
      <w:pPr>
        <w:keepNext w:val="0"/>
        <w:keepLines w:val="0"/>
        <w:pageBreakBefore w:val="0"/>
        <w:widowControl w:val="0"/>
        <w:kinsoku w:val="0"/>
        <w:wordWrap/>
        <w:overflowPunct/>
        <w:topLinePunct w:val="0"/>
        <w:autoSpaceDE/>
        <w:autoSpaceDN/>
        <w:bidi w:val="0"/>
        <w:adjustRightInd/>
        <w:snapToGrid w:val="0"/>
        <w:spacing w:before="0" w:beforeLines="0" w:after="0" w:afterLines="0" w:line="600" w:lineRule="atLeast"/>
        <w:jc w:val="center"/>
        <w:textAlignment w:val="baseline"/>
        <w:rPr>
          <w:rFonts w:hint="eastAsia" w:ascii="方正黑体_GBK" w:hAnsi="方正黑体_GBK" w:eastAsia="方正黑体_GBK" w:cs="方正黑体_GBK"/>
          <w:color w:val="auto"/>
          <w:sz w:val="32"/>
          <w:szCs w:val="32"/>
          <w:highlight w:val="none"/>
          <w:lang w:eastAsia="zh-CN"/>
        </w:rPr>
      </w:pPr>
      <w:r>
        <w:rPr>
          <w:rFonts w:hint="eastAsia" w:ascii="方正黑体_GBK" w:hAnsi="方正黑体_GBK" w:eastAsia="方正黑体_GBK" w:cs="方正黑体_GBK"/>
          <w:color w:val="auto"/>
          <w:sz w:val="32"/>
          <w:szCs w:val="32"/>
          <w:highlight w:val="none"/>
          <w:lang w:eastAsia="en-US"/>
        </w:rPr>
        <w:t>一般工业固体废物转移处置委托合同</w:t>
      </w:r>
      <w:bookmarkEnd w:id="0"/>
    </w:p>
    <w:p w14:paraId="2FA480F7">
      <w:pPr>
        <w:adjustRightInd/>
        <w:snapToGrid w:val="0"/>
        <w:spacing w:before="0" w:beforeLines="0" w:after="157" w:afterLines="50" w:line="600" w:lineRule="atLeast"/>
        <w:jc w:val="center"/>
        <w:rPr>
          <w:rFonts w:hint="eastAsia" w:ascii="方正仿宋_GBK" w:hAnsi="方正仿宋_GBK" w:eastAsia="方正仿宋_GBK" w:cs="方正仿宋_GBK"/>
          <w:b w:val="0"/>
          <w:bCs w:val="0"/>
          <w:color w:val="auto"/>
          <w:sz w:val="24"/>
          <w:szCs w:val="24"/>
          <w:highlight w:val="none"/>
        </w:rPr>
      </w:pPr>
      <w:r>
        <w:rPr>
          <w:rFonts w:hint="eastAsia" w:ascii="方正仿宋_GBK" w:hAnsi="方正仿宋_GBK" w:eastAsia="方正仿宋_GBK" w:cs="方正仿宋_GBK"/>
          <w:b w:val="0"/>
          <w:bCs w:val="0"/>
          <w:color w:val="auto"/>
          <w:sz w:val="24"/>
          <w:szCs w:val="24"/>
          <w:highlight w:val="none"/>
        </w:rPr>
        <w:t>（示范文本）</w:t>
      </w:r>
    </w:p>
    <w:p w14:paraId="0ACEC346">
      <w:pPr>
        <w:keepNext w:val="0"/>
        <w:keepLines w:val="0"/>
        <w:pageBreakBefore w:val="0"/>
        <w:widowControl w:val="0"/>
        <w:tabs>
          <w:tab w:val="left" w:pos="312"/>
        </w:tabs>
        <w:kinsoku/>
        <w:wordWrap/>
        <w:overflowPunct/>
        <w:topLinePunct w:val="0"/>
        <w:autoSpaceDE/>
        <w:autoSpaceDN/>
        <w:bidi w:val="0"/>
        <w:adjustRightInd/>
        <w:snapToGrid w:val="0"/>
        <w:spacing w:line="600" w:lineRule="atLeast"/>
        <w:ind w:left="482"/>
        <w:textAlignment w:val="auto"/>
        <w:outlineLvl w:val="9"/>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lang w:eastAsia="en-US"/>
        </w:rPr>
        <w:t>一般工业固体废物转移处置委托合同</w:t>
      </w:r>
      <w:r>
        <w:rPr>
          <w:rFonts w:hint="eastAsia" w:ascii="方正仿宋_GBK" w:hAnsi="方正仿宋_GBK" w:eastAsia="方正仿宋_GBK" w:cs="方正仿宋_GBK"/>
          <w:b w:val="0"/>
          <w:bCs w:val="0"/>
          <w:color w:val="auto"/>
          <w:sz w:val="32"/>
          <w:szCs w:val="32"/>
          <w:highlight w:val="none"/>
          <w:lang w:val="en-US" w:eastAsia="zh-CN"/>
        </w:rPr>
        <w:t>应包含以下内容：</w:t>
      </w:r>
    </w:p>
    <w:p w14:paraId="619E04A5">
      <w:pPr>
        <w:keepNext w:val="0"/>
        <w:keepLines w:val="0"/>
        <w:pageBreakBefore w:val="0"/>
        <w:widowControl w:val="0"/>
        <w:tabs>
          <w:tab w:val="left" w:pos="312"/>
        </w:tabs>
        <w:kinsoku/>
        <w:wordWrap/>
        <w:overflowPunct/>
        <w:topLinePunct w:val="0"/>
        <w:autoSpaceDE/>
        <w:autoSpaceDN/>
        <w:bidi w:val="0"/>
        <w:adjustRightInd/>
        <w:snapToGrid w:val="0"/>
        <w:spacing w:line="600" w:lineRule="atLeast"/>
        <w:ind w:left="482"/>
        <w:textAlignment w:val="auto"/>
        <w:outlineLvl w:val="9"/>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lang w:val="en-US" w:eastAsia="zh-CN"/>
        </w:rPr>
        <w:t>1</w:t>
      </w:r>
      <w:r>
        <w:rPr>
          <w:rFonts w:hint="eastAsia" w:ascii="方正仿宋_GBK" w:hAnsi="方正仿宋_GBK" w:eastAsia="方正仿宋_GBK" w:cs="方正仿宋_GBK"/>
          <w:b w:val="0"/>
          <w:bCs w:val="0"/>
          <w:color w:val="auto"/>
          <w:sz w:val="32"/>
          <w:szCs w:val="32"/>
          <w:highlight w:val="none"/>
        </w:rPr>
        <w:t>.甲方需转移、处置的一般工业固体废物明细：</w:t>
      </w:r>
    </w:p>
    <w:tbl>
      <w:tblPr>
        <w:tblStyle w:val="9"/>
        <w:tblW w:w="88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154"/>
        <w:gridCol w:w="1509"/>
        <w:gridCol w:w="1366"/>
        <w:gridCol w:w="884"/>
        <w:gridCol w:w="825"/>
        <w:gridCol w:w="691"/>
        <w:gridCol w:w="950"/>
        <w:gridCol w:w="810"/>
      </w:tblGrid>
      <w:tr w14:paraId="619FF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0" w:type="dxa"/>
            <w:vAlign w:val="center"/>
          </w:tcPr>
          <w:p w14:paraId="0F49DB5B">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r>
              <w:rPr>
                <w:rFonts w:hint="eastAsia" w:ascii="方正仿宋_GBK" w:hAnsi="方正仿宋_GBK" w:eastAsia="方正仿宋_GBK" w:cs="方正仿宋_GBK"/>
                <w:b w:val="0"/>
                <w:bCs w:val="0"/>
                <w:color w:val="auto"/>
                <w:kern w:val="0"/>
                <w:sz w:val="21"/>
                <w:szCs w:val="21"/>
                <w:highlight w:val="none"/>
                <w14:ligatures w14:val="none"/>
              </w:rPr>
              <w:t>序号</w:t>
            </w:r>
          </w:p>
        </w:tc>
        <w:tc>
          <w:tcPr>
            <w:tcW w:w="1154" w:type="dxa"/>
            <w:vAlign w:val="center"/>
          </w:tcPr>
          <w:p w14:paraId="5B135216">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val="en-US"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产生环节</w:t>
            </w:r>
          </w:p>
        </w:tc>
        <w:tc>
          <w:tcPr>
            <w:tcW w:w="1509" w:type="dxa"/>
            <w:vAlign w:val="center"/>
          </w:tcPr>
          <w:p w14:paraId="7DA1DB1A">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r>
              <w:rPr>
                <w:rFonts w:hint="eastAsia" w:ascii="方正仿宋_GBK" w:hAnsi="方正仿宋_GBK" w:eastAsia="方正仿宋_GBK" w:cs="方正仿宋_GBK"/>
                <w:b w:val="0"/>
                <w:bCs w:val="0"/>
                <w:color w:val="auto"/>
                <w:kern w:val="0"/>
                <w:sz w:val="21"/>
                <w:szCs w:val="21"/>
                <w:highlight w:val="none"/>
                <w14:ligatures w14:val="none"/>
              </w:rPr>
              <w:t>种类</w:t>
            </w:r>
          </w:p>
        </w:tc>
        <w:tc>
          <w:tcPr>
            <w:tcW w:w="1366" w:type="dxa"/>
            <w:shd w:val="clear" w:color="auto" w:fill="auto"/>
            <w:vAlign w:val="center"/>
          </w:tcPr>
          <w:p w14:paraId="759F1547">
            <w:pPr>
              <w:numPr>
                <w:ilvl w:val="255"/>
                <w:numId w:val="0"/>
              </w:numPr>
              <w:adjustRightInd/>
              <w:snapToGrid w:val="0"/>
              <w:ind w:left="0" w:leftChars="0" w:firstLine="0" w:firstLineChars="0"/>
              <w:jc w:val="center"/>
              <w:rPr>
                <w:rFonts w:hint="eastAsia" w:ascii="方正仿宋_GBK" w:hAnsi="方正仿宋_GBK" w:eastAsia="方正仿宋_GBK" w:cs="方正仿宋_GBK"/>
                <w:b w:val="0"/>
                <w:bCs w:val="0"/>
                <w:color w:val="auto"/>
                <w:kern w:val="0"/>
                <w:sz w:val="21"/>
                <w:szCs w:val="21"/>
                <w:highlight w:val="none"/>
                <w:lang w:val="en-US" w:eastAsia="zh-CN" w:bidi="ar-SA"/>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代码</w:t>
            </w:r>
          </w:p>
        </w:tc>
        <w:tc>
          <w:tcPr>
            <w:tcW w:w="884" w:type="dxa"/>
            <w:shd w:val="clear" w:color="auto" w:fill="auto"/>
            <w:vAlign w:val="center"/>
          </w:tcPr>
          <w:p w14:paraId="1CE86C61">
            <w:pPr>
              <w:numPr>
                <w:ilvl w:val="255"/>
                <w:numId w:val="0"/>
              </w:numPr>
              <w:adjustRightInd/>
              <w:snapToGrid w:val="0"/>
              <w:ind w:left="0" w:leftChars="0" w:firstLine="0" w:firstLineChars="0"/>
              <w:jc w:val="center"/>
              <w:rPr>
                <w:rFonts w:hint="eastAsia" w:ascii="方正仿宋_GBK" w:hAnsi="方正仿宋_GBK" w:eastAsia="方正仿宋_GBK" w:cs="方正仿宋_GBK"/>
                <w:b w:val="0"/>
                <w:bCs w:val="0"/>
                <w:color w:val="auto"/>
                <w:kern w:val="0"/>
                <w:sz w:val="21"/>
                <w:szCs w:val="21"/>
                <w:highlight w:val="none"/>
                <w:lang w:val="en-US" w:eastAsia="zh-CN" w:bidi="ar-SA"/>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名称</w:t>
            </w:r>
          </w:p>
        </w:tc>
        <w:tc>
          <w:tcPr>
            <w:tcW w:w="825" w:type="dxa"/>
            <w:vAlign w:val="center"/>
          </w:tcPr>
          <w:p w14:paraId="010074DB">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val="en-US"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物理性状</w:t>
            </w:r>
          </w:p>
        </w:tc>
        <w:tc>
          <w:tcPr>
            <w:tcW w:w="691" w:type="dxa"/>
            <w:vAlign w:val="center"/>
          </w:tcPr>
          <w:p w14:paraId="6C16BA9D">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r>
              <w:rPr>
                <w:rFonts w:hint="eastAsia" w:ascii="方正仿宋_GBK" w:hAnsi="方正仿宋_GBK" w:eastAsia="方正仿宋_GBK" w:cs="方正仿宋_GBK"/>
                <w:b w:val="0"/>
                <w:bCs w:val="0"/>
                <w:color w:val="auto"/>
                <w:kern w:val="0"/>
                <w:sz w:val="21"/>
                <w:szCs w:val="21"/>
                <w:highlight w:val="none"/>
                <w14:ligatures w14:val="none"/>
              </w:rPr>
              <w:t>包装方式</w:t>
            </w:r>
          </w:p>
        </w:tc>
        <w:tc>
          <w:tcPr>
            <w:tcW w:w="950" w:type="dxa"/>
            <w:vAlign w:val="center"/>
          </w:tcPr>
          <w:p w14:paraId="1624545C">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val="en-US" w:eastAsia="zh-CN"/>
                <w14:ligatures w14:val="none"/>
              </w:rPr>
            </w:pPr>
            <w:r>
              <w:rPr>
                <w:rFonts w:hint="eastAsia" w:ascii="方正仿宋_GBK" w:hAnsi="方正仿宋_GBK" w:eastAsia="方正仿宋_GBK" w:cs="方正仿宋_GBK"/>
                <w:b w:val="0"/>
                <w:bCs w:val="0"/>
                <w:color w:val="auto"/>
                <w:kern w:val="0"/>
                <w:sz w:val="21"/>
                <w:szCs w:val="21"/>
                <w:highlight w:val="none"/>
                <w14:ligatures w14:val="none"/>
              </w:rPr>
              <w:t>数量</w:t>
            </w:r>
            <w:r>
              <w:rPr>
                <w:rFonts w:hint="eastAsia" w:ascii="方正仿宋_GBK" w:hAnsi="方正仿宋_GBK" w:eastAsia="方正仿宋_GBK" w:cs="方正仿宋_GBK"/>
                <w:b w:val="0"/>
                <w:bCs w:val="0"/>
                <w:color w:val="auto"/>
                <w:kern w:val="0"/>
                <w:sz w:val="21"/>
                <w:szCs w:val="21"/>
                <w:highlight w:val="none"/>
                <w:lang w:val="en-US" w:eastAsia="zh-CN"/>
                <w14:ligatures w14:val="none"/>
              </w:rPr>
              <w:t>（吨）</w:t>
            </w:r>
          </w:p>
        </w:tc>
        <w:tc>
          <w:tcPr>
            <w:tcW w:w="810" w:type="dxa"/>
            <w:vAlign w:val="center"/>
          </w:tcPr>
          <w:p w14:paraId="00B3BCC1">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r>
              <w:rPr>
                <w:rFonts w:hint="eastAsia" w:ascii="方正仿宋_GBK" w:hAnsi="方正仿宋_GBK" w:eastAsia="方正仿宋_GBK" w:cs="方正仿宋_GBK"/>
                <w:b w:val="0"/>
                <w:bCs w:val="0"/>
                <w:color w:val="auto"/>
                <w:kern w:val="0"/>
                <w:sz w:val="21"/>
                <w:szCs w:val="21"/>
                <w:highlight w:val="none"/>
                <w14:ligatures w14:val="none"/>
              </w:rPr>
              <w:t>处理方式</w:t>
            </w:r>
          </w:p>
        </w:tc>
      </w:tr>
      <w:tr w14:paraId="296F7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0" w:type="dxa"/>
            <w:vAlign w:val="center"/>
          </w:tcPr>
          <w:p w14:paraId="32C18782">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示例</w:t>
            </w:r>
          </w:p>
        </w:tc>
        <w:tc>
          <w:tcPr>
            <w:tcW w:w="1154" w:type="dxa"/>
            <w:vAlign w:val="center"/>
          </w:tcPr>
          <w:p w14:paraId="1DE784D0">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val="en-US"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产品包装过程</w:t>
            </w:r>
          </w:p>
        </w:tc>
        <w:tc>
          <w:tcPr>
            <w:tcW w:w="1509" w:type="dxa"/>
            <w:vAlign w:val="center"/>
          </w:tcPr>
          <w:p w14:paraId="2FBB68C4">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val="en-US"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SW17</w:t>
            </w:r>
          </w:p>
          <w:p w14:paraId="1A09BB41">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val="en-US"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可再生类废物</w:t>
            </w:r>
          </w:p>
        </w:tc>
        <w:tc>
          <w:tcPr>
            <w:tcW w:w="1366" w:type="dxa"/>
            <w:shd w:val="clear" w:color="auto" w:fill="auto"/>
            <w:vAlign w:val="center"/>
          </w:tcPr>
          <w:p w14:paraId="317D0DF5">
            <w:pPr>
              <w:numPr>
                <w:ilvl w:val="255"/>
                <w:numId w:val="0"/>
              </w:numPr>
              <w:adjustRightInd/>
              <w:snapToGrid w:val="0"/>
              <w:ind w:left="0" w:leftChars="0" w:firstLine="0" w:firstLineChars="0"/>
              <w:jc w:val="center"/>
              <w:rPr>
                <w:rFonts w:hint="eastAsia" w:ascii="方正仿宋_GBK" w:hAnsi="方正仿宋_GBK" w:eastAsia="方正仿宋_GBK" w:cs="方正仿宋_GBK"/>
                <w:b w:val="0"/>
                <w:bCs w:val="0"/>
                <w:color w:val="auto"/>
                <w:kern w:val="0"/>
                <w:sz w:val="21"/>
                <w:szCs w:val="21"/>
                <w:highlight w:val="none"/>
                <w:lang w:val="en-US" w:eastAsia="zh-CN" w:bidi="ar-SA"/>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900-003-S17</w:t>
            </w:r>
          </w:p>
        </w:tc>
        <w:tc>
          <w:tcPr>
            <w:tcW w:w="884" w:type="dxa"/>
            <w:shd w:val="clear" w:color="auto" w:fill="auto"/>
            <w:vAlign w:val="center"/>
          </w:tcPr>
          <w:p w14:paraId="6BF4CE26">
            <w:pPr>
              <w:numPr>
                <w:ilvl w:val="255"/>
                <w:numId w:val="0"/>
              </w:numPr>
              <w:adjustRightInd/>
              <w:snapToGrid w:val="0"/>
              <w:ind w:left="0" w:leftChars="0" w:firstLine="0" w:firstLineChars="0"/>
              <w:jc w:val="center"/>
              <w:rPr>
                <w:rFonts w:hint="eastAsia" w:ascii="方正仿宋_GBK" w:hAnsi="方正仿宋_GBK" w:eastAsia="方正仿宋_GBK" w:cs="方正仿宋_GBK"/>
                <w:b w:val="0"/>
                <w:bCs w:val="0"/>
                <w:color w:val="auto"/>
                <w:kern w:val="0"/>
                <w:sz w:val="21"/>
                <w:szCs w:val="21"/>
                <w:highlight w:val="none"/>
                <w:lang w:val="en-US" w:eastAsia="zh-CN" w:bidi="ar-SA"/>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废塑料</w:t>
            </w:r>
          </w:p>
        </w:tc>
        <w:tc>
          <w:tcPr>
            <w:tcW w:w="825" w:type="dxa"/>
            <w:vAlign w:val="center"/>
          </w:tcPr>
          <w:p w14:paraId="3CC3F816">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val="en-US"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固态（S）</w:t>
            </w:r>
          </w:p>
        </w:tc>
        <w:tc>
          <w:tcPr>
            <w:tcW w:w="691" w:type="dxa"/>
            <w:vAlign w:val="center"/>
          </w:tcPr>
          <w:p w14:paraId="4CD13D6E">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val="en-US"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袋装</w:t>
            </w:r>
          </w:p>
        </w:tc>
        <w:tc>
          <w:tcPr>
            <w:tcW w:w="950" w:type="dxa"/>
            <w:vAlign w:val="center"/>
          </w:tcPr>
          <w:p w14:paraId="27FF9F87">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val="en-US"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100</w:t>
            </w:r>
          </w:p>
        </w:tc>
        <w:tc>
          <w:tcPr>
            <w:tcW w:w="810" w:type="dxa"/>
            <w:vAlign w:val="center"/>
          </w:tcPr>
          <w:p w14:paraId="1BD45F5E">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val="en-US"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再生利用</w:t>
            </w:r>
          </w:p>
        </w:tc>
      </w:tr>
      <w:tr w14:paraId="0873F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Align w:val="center"/>
          </w:tcPr>
          <w:p w14:paraId="74CED70B">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1</w:t>
            </w:r>
          </w:p>
        </w:tc>
        <w:tc>
          <w:tcPr>
            <w:tcW w:w="1154" w:type="dxa"/>
            <w:vAlign w:val="center"/>
          </w:tcPr>
          <w:p w14:paraId="2A8F30F8">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1509" w:type="dxa"/>
            <w:vAlign w:val="center"/>
          </w:tcPr>
          <w:p w14:paraId="738267AD">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1366" w:type="dxa"/>
            <w:vAlign w:val="center"/>
          </w:tcPr>
          <w:p w14:paraId="5C139F2A">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884" w:type="dxa"/>
            <w:shd w:val="clear" w:color="auto" w:fill="auto"/>
            <w:vAlign w:val="center"/>
          </w:tcPr>
          <w:p w14:paraId="07CAB867">
            <w:pPr>
              <w:numPr>
                <w:ilvl w:val="255"/>
                <w:numId w:val="0"/>
              </w:numPr>
              <w:adjustRightInd/>
              <w:snapToGrid w:val="0"/>
              <w:ind w:left="0" w:leftChars="0" w:firstLine="0" w:firstLineChars="0"/>
              <w:jc w:val="center"/>
              <w:rPr>
                <w:rFonts w:hint="eastAsia" w:ascii="方正仿宋_GBK" w:hAnsi="方正仿宋_GBK" w:eastAsia="方正仿宋_GBK" w:cs="方正仿宋_GBK"/>
                <w:b w:val="0"/>
                <w:bCs w:val="0"/>
                <w:color w:val="auto"/>
                <w:kern w:val="0"/>
                <w:sz w:val="21"/>
                <w:szCs w:val="21"/>
                <w:highlight w:val="none"/>
                <w:lang w:val="en-US" w:eastAsia="zh-CN" w:bidi="ar-SA"/>
                <w14:ligatures w14:val="none"/>
              </w:rPr>
            </w:pPr>
          </w:p>
        </w:tc>
        <w:tc>
          <w:tcPr>
            <w:tcW w:w="825" w:type="dxa"/>
            <w:vAlign w:val="center"/>
          </w:tcPr>
          <w:p w14:paraId="6427252A">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691" w:type="dxa"/>
            <w:vAlign w:val="center"/>
          </w:tcPr>
          <w:p w14:paraId="06043A8B">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950" w:type="dxa"/>
            <w:vAlign w:val="center"/>
          </w:tcPr>
          <w:p w14:paraId="15475189">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810" w:type="dxa"/>
            <w:vAlign w:val="center"/>
          </w:tcPr>
          <w:p w14:paraId="5BA996AF">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r>
      <w:tr w14:paraId="53181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Align w:val="center"/>
          </w:tcPr>
          <w:p w14:paraId="695816E4">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val="en-US"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w:t>
            </w:r>
          </w:p>
        </w:tc>
        <w:tc>
          <w:tcPr>
            <w:tcW w:w="1154" w:type="dxa"/>
            <w:vAlign w:val="center"/>
          </w:tcPr>
          <w:p w14:paraId="11AE5ECE">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1509" w:type="dxa"/>
            <w:vAlign w:val="center"/>
          </w:tcPr>
          <w:p w14:paraId="6507F7F8">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1366" w:type="dxa"/>
            <w:vAlign w:val="center"/>
          </w:tcPr>
          <w:p w14:paraId="6AFB0043">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884" w:type="dxa"/>
            <w:shd w:val="clear" w:color="auto" w:fill="auto"/>
            <w:vAlign w:val="center"/>
          </w:tcPr>
          <w:p w14:paraId="6566E2CE">
            <w:pPr>
              <w:numPr>
                <w:ilvl w:val="255"/>
                <w:numId w:val="0"/>
              </w:numPr>
              <w:adjustRightInd/>
              <w:snapToGrid w:val="0"/>
              <w:ind w:left="0" w:leftChars="0" w:firstLine="0" w:firstLineChars="0"/>
              <w:jc w:val="center"/>
              <w:rPr>
                <w:rFonts w:hint="eastAsia" w:ascii="方正仿宋_GBK" w:hAnsi="方正仿宋_GBK" w:eastAsia="方正仿宋_GBK" w:cs="方正仿宋_GBK"/>
                <w:b w:val="0"/>
                <w:bCs w:val="0"/>
                <w:color w:val="auto"/>
                <w:kern w:val="0"/>
                <w:sz w:val="21"/>
                <w:szCs w:val="21"/>
                <w:highlight w:val="none"/>
                <w:lang w:val="en-US" w:eastAsia="zh-CN" w:bidi="ar-SA"/>
                <w14:ligatures w14:val="none"/>
              </w:rPr>
            </w:pPr>
          </w:p>
        </w:tc>
        <w:tc>
          <w:tcPr>
            <w:tcW w:w="825" w:type="dxa"/>
            <w:vAlign w:val="center"/>
          </w:tcPr>
          <w:p w14:paraId="012928DD">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691" w:type="dxa"/>
            <w:vAlign w:val="center"/>
          </w:tcPr>
          <w:p w14:paraId="3DF29175">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950" w:type="dxa"/>
            <w:vAlign w:val="center"/>
          </w:tcPr>
          <w:p w14:paraId="7F52B8C1">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810" w:type="dxa"/>
            <w:vAlign w:val="center"/>
          </w:tcPr>
          <w:p w14:paraId="23552418">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r>
    </w:tbl>
    <w:p w14:paraId="1D07FCB8">
      <w:pPr>
        <w:keepNext w:val="0"/>
        <w:keepLines w:val="0"/>
        <w:pageBreakBefore w:val="0"/>
        <w:widowControl w:val="0"/>
        <w:kinsoku/>
        <w:wordWrap/>
        <w:overflowPunct/>
        <w:topLinePunct w:val="0"/>
        <w:autoSpaceDE/>
        <w:autoSpaceDN/>
        <w:bidi w:val="0"/>
        <w:adjustRightInd/>
        <w:snapToGrid w:val="0"/>
        <w:spacing w:before="0" w:line="600" w:lineRule="atLeast"/>
        <w:ind w:left="0" w:firstLine="640" w:firstLineChars="200"/>
        <w:jc w:val="left"/>
        <w:textAlignment w:val="auto"/>
        <w:outlineLvl w:val="9"/>
        <w:rPr>
          <w:rFonts w:hint="eastAsia" w:ascii="方正仿宋_GBK" w:hAnsi="方正仿宋_GBK" w:eastAsia="方正仿宋_GBK" w:cs="方正仿宋_GBK"/>
          <w:b w:val="0"/>
          <w:bCs w:val="0"/>
          <w:color w:val="auto"/>
          <w:kern w:val="2"/>
          <w:sz w:val="32"/>
          <w:szCs w:val="32"/>
          <w:highlight w:val="none"/>
          <w:lang w:val="en-US" w:eastAsia="zh-CN" w:bidi="ar-SA"/>
          <w14:ligatures w14:val="standardContextual"/>
        </w:rPr>
      </w:pPr>
      <w:r>
        <w:rPr>
          <w:rFonts w:hint="eastAsia" w:ascii="方正仿宋_GBK" w:hAnsi="方正仿宋_GBK" w:eastAsia="方正仿宋_GBK" w:cs="方正仿宋_GBK"/>
          <w:b w:val="0"/>
          <w:bCs w:val="0"/>
          <w:color w:val="auto"/>
          <w:kern w:val="2"/>
          <w:sz w:val="32"/>
          <w:szCs w:val="32"/>
          <w:highlight w:val="none"/>
          <w:lang w:val="en-US" w:eastAsia="zh-CN" w:bidi="ar-SA"/>
          <w14:ligatures w14:val="standardContextual"/>
        </w:rPr>
        <w:t>2.乙方在转移、利用、处置甲方提供的一般工业固体废物的过程中，应确保符合国家相关法律法规规定的环保、消防等要求。</w:t>
      </w:r>
    </w:p>
    <w:p w14:paraId="5A280AC6">
      <w:pPr>
        <w:keepNext w:val="0"/>
        <w:keepLines w:val="0"/>
        <w:pageBreakBefore w:val="0"/>
        <w:widowControl w:val="0"/>
        <w:kinsoku/>
        <w:wordWrap/>
        <w:overflowPunct/>
        <w:topLinePunct w:val="0"/>
        <w:autoSpaceDE/>
        <w:autoSpaceDN/>
        <w:bidi w:val="0"/>
        <w:adjustRightInd/>
        <w:snapToGrid w:val="0"/>
        <w:spacing w:before="0" w:line="600" w:lineRule="atLeast"/>
        <w:ind w:left="0" w:firstLine="640" w:firstLineChars="200"/>
        <w:jc w:val="left"/>
        <w:textAlignment w:val="auto"/>
        <w:outlineLvl w:val="9"/>
        <w:rPr>
          <w:rFonts w:hint="eastAsia" w:ascii="方正仿宋_GBK" w:hAnsi="方正仿宋_GBK" w:eastAsia="方正仿宋_GBK" w:cs="方正仿宋_GBK"/>
          <w:b w:val="0"/>
          <w:bCs w:val="0"/>
          <w:color w:val="auto"/>
          <w:kern w:val="2"/>
          <w:sz w:val="32"/>
          <w:szCs w:val="32"/>
          <w:highlight w:val="none"/>
          <w:u w:val="none"/>
          <w:lang w:val="en-US" w:eastAsia="zh-CN" w:bidi="ar-SA"/>
          <w14:ligatures w14:val="standardContextual"/>
        </w:rPr>
      </w:pPr>
      <w:r>
        <w:rPr>
          <w:rFonts w:hint="eastAsia" w:ascii="方正仿宋_GBK" w:hAnsi="方正仿宋_GBK" w:eastAsia="方正仿宋_GBK" w:cs="方正仿宋_GBK"/>
          <w:b w:val="0"/>
          <w:bCs w:val="0"/>
          <w:color w:val="auto"/>
          <w:kern w:val="2"/>
          <w:sz w:val="32"/>
          <w:szCs w:val="32"/>
          <w:highlight w:val="none"/>
          <w:u w:val="none"/>
          <w:lang w:val="en-US" w:eastAsia="zh-CN" w:bidi="ar-SA"/>
          <w14:ligatures w14:val="standardContextual"/>
        </w:rPr>
        <w:t>注：鼓励明确乙方所执行的标准，如①</w:t>
      </w:r>
      <w:r>
        <w:rPr>
          <w:rFonts w:hint="eastAsia" w:ascii="方正仿宋_GBK" w:hAnsi="方正仿宋_GBK" w:eastAsia="方正仿宋_GBK" w:cs="方正仿宋_GBK"/>
          <w:b w:val="0"/>
          <w:bCs w:val="0"/>
          <w:color w:val="auto"/>
          <w:kern w:val="2"/>
          <w:sz w:val="32"/>
          <w:szCs w:val="32"/>
          <w:highlight w:val="none"/>
          <w:u w:val="none"/>
          <w:lang w:val="en-US" w:eastAsia="en-US" w:bidi="ar-SA"/>
          <w14:ligatures w14:val="standardContextual"/>
        </w:rPr>
        <w:t>《一般工业固体废物贮存和填埋污染控制标准》（GB</w:t>
      </w:r>
      <w:r>
        <w:rPr>
          <w:rFonts w:hint="eastAsia" w:ascii="方正仿宋_GBK" w:hAnsi="方正仿宋_GBK" w:eastAsia="方正仿宋_GBK" w:cs="方正仿宋_GBK"/>
          <w:b w:val="0"/>
          <w:bCs w:val="0"/>
          <w:color w:val="auto"/>
          <w:kern w:val="2"/>
          <w:sz w:val="32"/>
          <w:szCs w:val="32"/>
          <w:highlight w:val="none"/>
          <w:u w:val="none"/>
          <w:lang w:val="en-US" w:eastAsia="zh-CN" w:bidi="ar-SA"/>
          <w14:ligatures w14:val="standardContextual"/>
        </w:rPr>
        <w:t xml:space="preserve"> </w:t>
      </w:r>
      <w:r>
        <w:rPr>
          <w:rFonts w:hint="eastAsia" w:ascii="方正仿宋_GBK" w:hAnsi="方正仿宋_GBK" w:eastAsia="方正仿宋_GBK" w:cs="方正仿宋_GBK"/>
          <w:b w:val="0"/>
          <w:bCs w:val="0"/>
          <w:color w:val="auto"/>
          <w:kern w:val="2"/>
          <w:sz w:val="32"/>
          <w:szCs w:val="32"/>
          <w:highlight w:val="none"/>
          <w:u w:val="none"/>
          <w:lang w:val="en-US" w:eastAsia="en-US" w:bidi="ar-SA"/>
          <w14:ligatures w14:val="standardContextual"/>
        </w:rPr>
        <w:t>18599）</w:t>
      </w:r>
      <w:r>
        <w:rPr>
          <w:rFonts w:hint="eastAsia" w:ascii="方正仿宋_GBK" w:hAnsi="方正仿宋_GBK" w:eastAsia="方正仿宋_GBK" w:cs="方正仿宋_GBK"/>
          <w:b w:val="0"/>
          <w:bCs w:val="0"/>
          <w:color w:val="auto"/>
          <w:kern w:val="2"/>
          <w:sz w:val="32"/>
          <w:szCs w:val="32"/>
          <w:highlight w:val="none"/>
          <w:u w:val="none"/>
          <w:lang w:val="en-US" w:eastAsia="zh-CN" w:bidi="ar-SA"/>
          <w14:ligatures w14:val="standardContextual"/>
        </w:rPr>
        <w:t>；②</w:t>
      </w:r>
      <w:r>
        <w:rPr>
          <w:rFonts w:hint="eastAsia" w:ascii="方正仿宋_GBK" w:hAnsi="方正仿宋_GBK" w:eastAsia="方正仿宋_GBK" w:cs="方正仿宋_GBK"/>
          <w:b w:val="0"/>
          <w:bCs w:val="0"/>
          <w:color w:val="auto"/>
          <w:kern w:val="2"/>
          <w:sz w:val="32"/>
          <w:szCs w:val="32"/>
          <w:highlight w:val="none"/>
          <w:u w:val="none"/>
          <w:lang w:val="en-US" w:eastAsia="en-US" w:bidi="ar-SA"/>
          <w14:ligatures w14:val="standardContextual"/>
        </w:rPr>
        <w:t>《生活垃圾焚烧污染控制标准》（GB</w:t>
      </w:r>
      <w:r>
        <w:rPr>
          <w:rFonts w:hint="eastAsia" w:ascii="方正仿宋_GBK" w:hAnsi="方正仿宋_GBK" w:eastAsia="方正仿宋_GBK" w:cs="方正仿宋_GBK"/>
          <w:b w:val="0"/>
          <w:bCs w:val="0"/>
          <w:color w:val="auto"/>
          <w:kern w:val="2"/>
          <w:sz w:val="32"/>
          <w:szCs w:val="32"/>
          <w:highlight w:val="none"/>
          <w:u w:val="none"/>
          <w:lang w:val="en-US" w:eastAsia="zh-CN" w:bidi="ar-SA"/>
          <w14:ligatures w14:val="standardContextual"/>
        </w:rPr>
        <w:t xml:space="preserve"> </w:t>
      </w:r>
      <w:r>
        <w:rPr>
          <w:rFonts w:hint="eastAsia" w:ascii="方正仿宋_GBK" w:hAnsi="方正仿宋_GBK" w:eastAsia="方正仿宋_GBK" w:cs="方正仿宋_GBK"/>
          <w:b w:val="0"/>
          <w:bCs w:val="0"/>
          <w:color w:val="auto"/>
          <w:kern w:val="2"/>
          <w:sz w:val="32"/>
          <w:szCs w:val="32"/>
          <w:highlight w:val="none"/>
          <w:u w:val="none"/>
          <w:lang w:val="en-US" w:eastAsia="en-US" w:bidi="ar-SA"/>
          <w14:ligatures w14:val="standardContextual"/>
        </w:rPr>
        <w:t>18485）</w:t>
      </w:r>
      <w:r>
        <w:rPr>
          <w:rFonts w:hint="eastAsia" w:ascii="方正仿宋_GBK" w:hAnsi="方正仿宋_GBK" w:eastAsia="方正仿宋_GBK" w:cs="方正仿宋_GBK"/>
          <w:b w:val="0"/>
          <w:bCs w:val="0"/>
          <w:color w:val="auto"/>
          <w:kern w:val="2"/>
          <w:sz w:val="32"/>
          <w:szCs w:val="32"/>
          <w:highlight w:val="none"/>
          <w:u w:val="none"/>
          <w:lang w:val="en-US" w:eastAsia="zh-CN" w:bidi="ar-SA"/>
          <w14:ligatures w14:val="standardContextual"/>
        </w:rPr>
        <w:t>；③</w:t>
      </w:r>
      <w:r>
        <w:rPr>
          <w:rFonts w:hint="eastAsia" w:ascii="方正仿宋_GBK" w:hAnsi="方正仿宋_GBK" w:eastAsia="方正仿宋_GBK" w:cs="方正仿宋_GBK"/>
          <w:b w:val="0"/>
          <w:bCs w:val="0"/>
          <w:color w:val="auto"/>
          <w:kern w:val="2"/>
          <w:sz w:val="32"/>
          <w:szCs w:val="32"/>
          <w:highlight w:val="none"/>
          <w:u w:val="none"/>
          <w:lang w:val="en-US" w:eastAsia="en-US" w:bidi="ar-SA"/>
          <w14:ligatures w14:val="standardContextual"/>
        </w:rPr>
        <w:t>《水泥窑协同处置固体废物污染控制标准》（GB</w:t>
      </w:r>
      <w:r>
        <w:rPr>
          <w:rFonts w:hint="eastAsia" w:ascii="方正仿宋_GBK" w:hAnsi="方正仿宋_GBK" w:eastAsia="方正仿宋_GBK" w:cs="方正仿宋_GBK"/>
          <w:b w:val="0"/>
          <w:bCs w:val="0"/>
          <w:color w:val="auto"/>
          <w:kern w:val="2"/>
          <w:sz w:val="32"/>
          <w:szCs w:val="32"/>
          <w:highlight w:val="none"/>
          <w:u w:val="none"/>
          <w:lang w:val="en-US" w:eastAsia="zh-CN" w:bidi="ar-SA"/>
          <w14:ligatures w14:val="standardContextual"/>
        </w:rPr>
        <w:t xml:space="preserve"> </w:t>
      </w:r>
      <w:r>
        <w:rPr>
          <w:rFonts w:hint="eastAsia" w:ascii="方正仿宋_GBK" w:hAnsi="方正仿宋_GBK" w:eastAsia="方正仿宋_GBK" w:cs="方正仿宋_GBK"/>
          <w:b w:val="0"/>
          <w:bCs w:val="0"/>
          <w:color w:val="auto"/>
          <w:kern w:val="2"/>
          <w:sz w:val="32"/>
          <w:szCs w:val="32"/>
          <w:highlight w:val="none"/>
          <w:u w:val="none"/>
          <w:lang w:val="en-US" w:eastAsia="en-US" w:bidi="ar-SA"/>
          <w14:ligatures w14:val="standardContextual"/>
        </w:rPr>
        <w:t>30485）</w:t>
      </w:r>
      <w:r>
        <w:rPr>
          <w:rFonts w:hint="eastAsia" w:ascii="方正仿宋_GBK" w:hAnsi="方正仿宋_GBK" w:eastAsia="方正仿宋_GBK" w:cs="方正仿宋_GBK"/>
          <w:b w:val="0"/>
          <w:bCs w:val="0"/>
          <w:color w:val="auto"/>
          <w:kern w:val="2"/>
          <w:sz w:val="32"/>
          <w:szCs w:val="32"/>
          <w:highlight w:val="none"/>
          <w:u w:val="none"/>
          <w:lang w:val="en-US" w:eastAsia="zh-CN" w:bidi="ar-SA"/>
          <w14:ligatures w14:val="standardContextual"/>
        </w:rPr>
        <w:t>等。如果没有对应的污染控制标准，双方应当根据实际情况约定污染防治要求。</w:t>
      </w:r>
    </w:p>
    <w:p w14:paraId="436A4137">
      <w:pPr>
        <w:keepNext w:val="0"/>
        <w:keepLines w:val="0"/>
        <w:pageBreakBefore w:val="0"/>
        <w:widowControl w:val="0"/>
        <w:kinsoku/>
        <w:wordWrap/>
        <w:overflowPunct/>
        <w:topLinePunct w:val="0"/>
        <w:autoSpaceDE/>
        <w:autoSpaceDN/>
        <w:bidi w:val="0"/>
        <w:adjustRightInd/>
        <w:snapToGrid w:val="0"/>
        <w:spacing w:before="0" w:line="600" w:lineRule="atLeast"/>
        <w:ind w:left="0" w:firstLine="640" w:firstLineChars="200"/>
        <w:jc w:val="left"/>
        <w:textAlignment w:val="auto"/>
        <w:outlineLvl w:val="9"/>
        <w:rPr>
          <w:rFonts w:hint="eastAsia" w:ascii="方正仿宋_GBK" w:hAnsi="方正仿宋_GBK" w:eastAsia="方正仿宋_GBK" w:cs="方正仿宋_GBK"/>
          <w:b w:val="0"/>
          <w:bCs w:val="0"/>
          <w:color w:val="auto"/>
          <w:kern w:val="2"/>
          <w:sz w:val="32"/>
          <w:szCs w:val="32"/>
          <w:highlight w:val="none"/>
          <w:lang w:val="en-US" w:eastAsia="zh-CN" w:bidi="ar-SA"/>
          <w14:ligatures w14:val="standardContextual"/>
        </w:rPr>
      </w:pPr>
      <w:r>
        <w:rPr>
          <w:rFonts w:hint="eastAsia" w:ascii="方正仿宋_GBK" w:hAnsi="方正仿宋_GBK" w:eastAsia="方正仿宋_GBK" w:cs="方正仿宋_GBK"/>
          <w:b w:val="0"/>
          <w:bCs w:val="0"/>
          <w:color w:val="auto"/>
          <w:kern w:val="2"/>
          <w:sz w:val="32"/>
          <w:szCs w:val="32"/>
          <w:highlight w:val="none"/>
          <w:lang w:val="en-US" w:eastAsia="zh-CN" w:bidi="ar-SA"/>
          <w14:ligatures w14:val="standardContextual"/>
        </w:rPr>
        <w:t>3.乙方在处置甲方提供的一般工业固体废物活动完成后，应当及时向甲方报告处置情况。</w:t>
      </w:r>
    </w:p>
    <w:p w14:paraId="6A7FE66B">
      <w:pPr>
        <w:keepNext w:val="0"/>
        <w:keepLines w:val="0"/>
        <w:pageBreakBefore w:val="0"/>
        <w:widowControl w:val="0"/>
        <w:kinsoku/>
        <w:wordWrap/>
        <w:overflowPunct/>
        <w:topLinePunct w:val="0"/>
        <w:autoSpaceDE/>
        <w:autoSpaceDN/>
        <w:bidi w:val="0"/>
        <w:adjustRightInd/>
        <w:snapToGrid w:val="0"/>
        <w:spacing w:before="0" w:line="600" w:lineRule="atLeast"/>
        <w:ind w:left="0" w:firstLine="640" w:firstLineChars="200"/>
        <w:jc w:val="left"/>
        <w:textAlignment w:val="auto"/>
        <w:outlineLvl w:val="9"/>
        <w:rPr>
          <w:rFonts w:hint="eastAsia" w:ascii="方正仿宋_GBK" w:hAnsi="方正仿宋_GBK" w:eastAsia="方正仿宋_GBK" w:cs="方正仿宋_GBK"/>
          <w:b w:val="0"/>
          <w:bCs w:val="0"/>
          <w:color w:val="auto"/>
          <w:kern w:val="2"/>
          <w:sz w:val="32"/>
          <w:szCs w:val="32"/>
          <w:highlight w:val="none"/>
          <w:lang w:val="en-US" w:eastAsia="zh-CN" w:bidi="ar-SA"/>
          <w14:ligatures w14:val="standardContextual"/>
        </w:rPr>
      </w:pPr>
      <w:r>
        <w:rPr>
          <w:rFonts w:hint="eastAsia" w:ascii="方正仿宋_GBK" w:hAnsi="方正仿宋_GBK" w:eastAsia="方正仿宋_GBK" w:cs="方正仿宋_GBK"/>
          <w:b w:val="0"/>
          <w:bCs w:val="0"/>
          <w:color w:val="auto"/>
          <w:kern w:val="2"/>
          <w:sz w:val="32"/>
          <w:szCs w:val="32"/>
          <w:highlight w:val="none"/>
          <w:lang w:val="en-US" w:eastAsia="zh-CN" w:bidi="ar-SA"/>
          <w14:ligatures w14:val="standardContextual"/>
        </w:rPr>
        <w:t>4.甲方核实乙方主体资格和技术能力的相关文件作为合同附件。</w:t>
      </w:r>
    </w:p>
    <w:p w14:paraId="0013DA79">
      <w:pPr>
        <w:keepNext w:val="0"/>
        <w:keepLines w:val="0"/>
        <w:pageBreakBefore w:val="0"/>
        <w:widowControl w:val="0"/>
        <w:kinsoku/>
        <w:wordWrap/>
        <w:overflowPunct/>
        <w:topLinePunct w:val="0"/>
        <w:autoSpaceDE/>
        <w:autoSpaceDN/>
        <w:bidi w:val="0"/>
        <w:adjustRightInd/>
        <w:snapToGrid w:val="0"/>
        <w:spacing w:line="600" w:lineRule="atLeast"/>
        <w:ind w:firstLine="640" w:firstLineChars="20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附件1：利用、处置单位的营业执照。</w:t>
      </w:r>
    </w:p>
    <w:p w14:paraId="6D65242E">
      <w:pPr>
        <w:keepNext w:val="0"/>
        <w:keepLines w:val="0"/>
        <w:pageBreakBefore w:val="0"/>
        <w:widowControl w:val="0"/>
        <w:kinsoku/>
        <w:wordWrap/>
        <w:overflowPunct/>
        <w:topLinePunct w:val="0"/>
        <w:autoSpaceDE/>
        <w:autoSpaceDN/>
        <w:bidi w:val="0"/>
        <w:adjustRightInd/>
        <w:snapToGrid w:val="0"/>
        <w:spacing w:line="600" w:lineRule="atLeast"/>
        <w:ind w:firstLine="640" w:firstLineChars="20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附件2：利用、处置单位的环境影响评价批复文件。</w:t>
      </w:r>
    </w:p>
    <w:p w14:paraId="3D87D686">
      <w:pPr>
        <w:keepNext w:val="0"/>
        <w:keepLines w:val="0"/>
        <w:pageBreakBefore w:val="0"/>
        <w:widowControl w:val="0"/>
        <w:kinsoku/>
        <w:wordWrap/>
        <w:overflowPunct/>
        <w:topLinePunct w:val="0"/>
        <w:autoSpaceDE/>
        <w:autoSpaceDN/>
        <w:bidi w:val="0"/>
        <w:adjustRightInd/>
        <w:snapToGrid w:val="0"/>
        <w:spacing w:line="600" w:lineRule="atLeast"/>
        <w:ind w:firstLine="640" w:firstLineChars="20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附件3：利用、处置单位的排污许可证。</w:t>
      </w:r>
    </w:p>
    <w:p w14:paraId="6D2350BB">
      <w:pPr>
        <w:keepNext w:val="0"/>
        <w:keepLines w:val="0"/>
        <w:pageBreakBefore w:val="0"/>
        <w:widowControl w:val="0"/>
        <w:kinsoku/>
        <w:wordWrap/>
        <w:overflowPunct/>
        <w:topLinePunct w:val="0"/>
        <w:autoSpaceDE/>
        <w:autoSpaceDN/>
        <w:bidi w:val="0"/>
        <w:adjustRightInd/>
        <w:snapToGrid w:val="0"/>
        <w:spacing w:line="400" w:lineRule="exact"/>
        <w:ind w:firstLine="640" w:firstLineChars="20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w:t>
      </w:r>
    </w:p>
    <w:p w14:paraId="0980B55B">
      <w:pPr>
        <w:rPr>
          <w:rFonts w:hint="eastAsia" w:ascii="Times New Roman" w:hAnsi="Times New Roman" w:eastAsia="方正仿宋_GBK" w:cs="Times New Roman"/>
          <w:b/>
          <w:bCs/>
          <w:color w:val="auto"/>
          <w:kern w:val="0"/>
          <w:szCs w:val="21"/>
          <w:highlight w:val="none"/>
          <w:lang w:val="en-US" w:eastAsia="zh-CN" w:bidi="ar"/>
        </w:rPr>
      </w:pPr>
    </w:p>
    <w:p w14:paraId="2B5CDC2D">
      <w:pPr>
        <w:keepNext w:val="0"/>
        <w:keepLines w:val="0"/>
        <w:pageBreakBefore w:val="0"/>
        <w:widowControl w:val="0"/>
        <w:tabs>
          <w:tab w:val="left" w:pos="5187"/>
        </w:tabs>
        <w:kinsoku/>
        <w:wordWrap/>
        <w:overflowPunct/>
        <w:topLinePunct w:val="0"/>
        <w:autoSpaceDE/>
        <w:autoSpaceDN/>
        <w:bidi w:val="0"/>
        <w:adjustRightInd/>
        <w:snapToGrid/>
        <w:spacing w:line="600" w:lineRule="atLeast"/>
        <w:ind w:left="0" w:leftChars="0" w:right="0" w:rightChars="0"/>
        <w:jc w:val="left"/>
        <w:textAlignment w:val="auto"/>
        <w:rPr>
          <w:rFonts w:hint="eastAsia" w:ascii="方正仿宋_GBK" w:hAnsi="方正仿宋_GBK" w:eastAsia="方正仿宋_GBK" w:cs="方正仿宋_GBK"/>
          <w:kern w:val="0"/>
          <w:sz w:val="32"/>
          <w:szCs w:val="32"/>
          <w:shd w:val="clear" w:color="auto" w:fill="FFFFFF"/>
          <w:lang w:val="en-US" w:eastAsia="zh-CN" w:bidi="ar-SA"/>
        </w:rPr>
      </w:pPr>
    </w:p>
    <w:p w14:paraId="4064BF5F">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jc w:val="left"/>
        <w:textAlignment w:val="auto"/>
        <w:rPr>
          <w:rFonts w:hint="eastAsia" w:ascii="方正仿宋_GBK" w:hAnsi="方正仿宋_GBK" w:eastAsia="方正仿宋_GBK" w:cs="方正仿宋_GBK"/>
          <w:kern w:val="0"/>
          <w:sz w:val="32"/>
          <w:szCs w:val="32"/>
          <w:shd w:val="clear" w:color="auto" w:fill="FFFFFF"/>
          <w:lang w:val="en-US" w:eastAsia="zh-CN" w:bidi="ar-SA"/>
        </w:rPr>
      </w:pPr>
    </w:p>
    <w:p w14:paraId="33A28F0F">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jc w:val="left"/>
        <w:textAlignment w:val="auto"/>
        <w:rPr>
          <w:rFonts w:hint="eastAsia" w:ascii="方正仿宋_GBK" w:hAnsi="方正仿宋_GBK" w:eastAsia="方正仿宋_GBK" w:cs="方正仿宋_GBK"/>
          <w:kern w:val="0"/>
          <w:sz w:val="32"/>
          <w:szCs w:val="32"/>
          <w:shd w:val="clear" w:color="auto" w:fill="FFFFFF"/>
          <w:lang w:val="en-US" w:eastAsia="zh-CN" w:bidi="ar-SA"/>
        </w:rPr>
      </w:pPr>
    </w:p>
    <w:p w14:paraId="638D6A3F">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jc w:val="left"/>
        <w:textAlignment w:val="auto"/>
        <w:rPr>
          <w:rFonts w:hint="eastAsia" w:ascii="方正仿宋_GBK" w:hAnsi="方正仿宋_GBK" w:eastAsia="方正仿宋_GBK" w:cs="方正仿宋_GBK"/>
          <w:kern w:val="0"/>
          <w:sz w:val="32"/>
          <w:szCs w:val="32"/>
          <w:shd w:val="clear" w:color="auto" w:fill="FFFFFF"/>
          <w:lang w:val="en-US" w:eastAsia="zh-CN" w:bidi="ar-SA"/>
        </w:rPr>
      </w:pPr>
    </w:p>
    <w:p w14:paraId="2AB36898">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jc w:val="left"/>
        <w:textAlignment w:val="auto"/>
        <w:rPr>
          <w:rFonts w:hint="eastAsia" w:ascii="方正仿宋_GBK" w:hAnsi="方正仿宋_GBK" w:eastAsia="方正仿宋_GBK" w:cs="方正仿宋_GBK"/>
          <w:kern w:val="0"/>
          <w:sz w:val="32"/>
          <w:szCs w:val="32"/>
          <w:shd w:val="clear" w:color="auto" w:fill="FFFFFF"/>
          <w:lang w:val="en-US" w:eastAsia="zh-CN" w:bidi="ar-SA"/>
        </w:rPr>
      </w:pPr>
    </w:p>
    <w:p w14:paraId="4284A7AC">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jc w:val="left"/>
        <w:textAlignment w:val="auto"/>
        <w:rPr>
          <w:rFonts w:hint="eastAsia" w:ascii="方正仿宋_GBK" w:hAnsi="方正仿宋_GBK" w:eastAsia="方正仿宋_GBK" w:cs="方正仿宋_GBK"/>
          <w:kern w:val="0"/>
          <w:sz w:val="32"/>
          <w:szCs w:val="32"/>
          <w:shd w:val="clear" w:color="auto" w:fill="FFFFFF"/>
          <w:lang w:val="en-US" w:eastAsia="zh-CN" w:bidi="ar-SA"/>
        </w:rPr>
      </w:pPr>
    </w:p>
    <w:p w14:paraId="3CA23BD4">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jc w:val="left"/>
        <w:textAlignment w:val="auto"/>
        <w:rPr>
          <w:rFonts w:hint="eastAsia" w:ascii="方正仿宋_GBK" w:hAnsi="方正仿宋_GBK" w:eastAsia="方正仿宋_GBK" w:cs="方正仿宋_GBK"/>
          <w:kern w:val="0"/>
          <w:sz w:val="32"/>
          <w:szCs w:val="32"/>
          <w:shd w:val="clear" w:color="auto" w:fill="FFFFFF"/>
          <w:lang w:val="en-US" w:eastAsia="zh-CN" w:bidi="ar-SA"/>
        </w:rPr>
      </w:pPr>
    </w:p>
    <w:p w14:paraId="7F338761">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jc w:val="left"/>
        <w:textAlignment w:val="auto"/>
        <w:rPr>
          <w:rFonts w:hint="eastAsia" w:ascii="方正仿宋_GBK" w:hAnsi="方正仿宋_GBK" w:eastAsia="方正仿宋_GBK" w:cs="方正仿宋_GBK"/>
          <w:kern w:val="0"/>
          <w:sz w:val="32"/>
          <w:szCs w:val="32"/>
          <w:shd w:val="clear" w:color="auto" w:fill="FFFFFF"/>
          <w:lang w:val="en-US" w:eastAsia="zh-CN" w:bidi="ar-SA"/>
        </w:rPr>
      </w:pPr>
    </w:p>
    <w:p w14:paraId="46E9F418">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jc w:val="left"/>
        <w:textAlignment w:val="auto"/>
        <w:rPr>
          <w:rFonts w:hint="eastAsia" w:ascii="方正仿宋_GBK" w:hAnsi="方正仿宋_GBK" w:eastAsia="方正仿宋_GBK" w:cs="方正仿宋_GBK"/>
          <w:kern w:val="0"/>
          <w:sz w:val="32"/>
          <w:szCs w:val="32"/>
          <w:shd w:val="clear" w:color="auto" w:fill="FFFFFF"/>
          <w:lang w:val="en-US" w:eastAsia="zh-CN" w:bidi="ar-SA"/>
        </w:rPr>
      </w:pPr>
    </w:p>
    <w:p w14:paraId="0C6EA956">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jc w:val="left"/>
        <w:textAlignment w:val="auto"/>
        <w:rPr>
          <w:rFonts w:hint="eastAsia" w:ascii="方正仿宋_GBK" w:hAnsi="方正仿宋_GBK" w:eastAsia="方正仿宋_GBK" w:cs="方正仿宋_GBK"/>
          <w:kern w:val="0"/>
          <w:sz w:val="32"/>
          <w:szCs w:val="32"/>
          <w:shd w:val="clear" w:color="auto" w:fill="FFFFFF"/>
          <w:lang w:val="en-US" w:eastAsia="zh-CN" w:bidi="ar-SA"/>
        </w:rPr>
      </w:pPr>
    </w:p>
    <w:p w14:paraId="17729763">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jc w:val="left"/>
        <w:textAlignment w:val="auto"/>
        <w:rPr>
          <w:rFonts w:hint="eastAsia" w:ascii="方正仿宋_GBK" w:hAnsi="方正仿宋_GBK" w:eastAsia="方正仿宋_GBK" w:cs="方正仿宋_GBK"/>
          <w:kern w:val="0"/>
          <w:sz w:val="32"/>
          <w:szCs w:val="32"/>
          <w:shd w:val="clear" w:color="auto" w:fill="FFFFFF"/>
          <w:lang w:val="en-US" w:eastAsia="zh-CN" w:bidi="ar-SA"/>
        </w:rPr>
      </w:pPr>
    </w:p>
    <w:p w14:paraId="784B8655">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0" w:firstLineChars="0"/>
        <w:jc w:val="left"/>
        <w:textAlignment w:val="auto"/>
        <w:outlineLvl w:val="9"/>
        <w:rPr>
          <w:rFonts w:hint="eastAsia" w:ascii="方正仿宋_GBK" w:hAnsi="方正仿宋_GBK" w:eastAsia="方正仿宋_GBK" w:cs="方正仿宋_GBK"/>
          <w:kern w:val="0"/>
          <w:sz w:val="32"/>
          <w:szCs w:val="32"/>
          <w:shd w:val="clear" w:color="auto" w:fill="FFFFFF"/>
          <w:lang w:eastAsia="zh-CN" w:bidi="ar-SA"/>
        </w:rPr>
      </w:pPr>
    </w:p>
    <w:p w14:paraId="32431F9C">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0" w:firstLineChars="0"/>
        <w:jc w:val="left"/>
        <w:textAlignment w:val="auto"/>
        <w:outlineLvl w:val="9"/>
        <w:rPr>
          <w:rFonts w:hint="default" w:ascii="方正仿宋_GBK" w:hAnsi="方正仿宋_GBK" w:eastAsia="方正仿宋_GBK" w:cs="方正仿宋_GBK"/>
          <w:kern w:val="0"/>
          <w:sz w:val="32"/>
          <w:szCs w:val="32"/>
          <w:u w:val="single"/>
          <w:shd w:val="clear" w:color="auto" w:fill="FFFFFF"/>
          <w:lang w:eastAsia="zh-CN" w:bidi="ar-SA"/>
        </w:rPr>
      </w:pPr>
    </w:p>
    <w:p w14:paraId="7815F396">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0" w:firstLineChars="0"/>
        <w:jc w:val="left"/>
        <w:textAlignment w:val="auto"/>
        <w:outlineLvl w:val="9"/>
        <w:rPr>
          <w:rFonts w:hint="default" w:ascii="方正仿宋_GBK" w:hAnsi="方正仿宋_GBK" w:eastAsia="方正仿宋_GBK" w:cs="方正仿宋_GBK"/>
          <w:b w:val="0"/>
          <w:bCs w:val="0"/>
          <w:color w:val="auto"/>
          <w:sz w:val="28"/>
          <w:szCs w:val="28"/>
          <w:u w:val="single"/>
          <w:lang w:val="en-US" w:eastAsia="zh-CN"/>
        </w:rPr>
      </w:pPr>
      <w:r>
        <w:rPr>
          <w:rFonts w:hint="eastAsia" w:ascii="方正仿宋_GBK" w:hAnsi="方正仿宋_GBK" w:eastAsia="方正仿宋_GBK" w:cs="方正仿宋_GBK"/>
          <w:b w:val="0"/>
          <w:bCs w:val="0"/>
          <w:color w:val="auto"/>
          <w:sz w:val="28"/>
          <w:szCs w:val="28"/>
          <w:u w:val="single"/>
          <w:lang w:val="en-US" w:eastAsia="zh-CN"/>
        </w:rPr>
        <w:t xml:space="preserve">                                                               </w:t>
      </w:r>
    </w:p>
    <w:p w14:paraId="3E9C4520">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0" w:firstLineChars="0"/>
        <w:jc w:val="left"/>
        <w:textAlignment w:val="auto"/>
        <w:outlineLvl w:val="9"/>
        <w:rPr>
          <w:rFonts w:hint="default" w:ascii="方正仿宋_GBK" w:hAnsi="方正仿宋_GBK" w:eastAsia="方正仿宋_GBK" w:cs="方正仿宋_GBK"/>
          <w:b w:val="0"/>
          <w:bCs w:val="0"/>
          <w:color w:val="auto"/>
          <w:sz w:val="28"/>
          <w:szCs w:val="28"/>
          <w:u w:val="single"/>
          <w:lang w:val="en-US" w:eastAsia="zh-CN"/>
        </w:rPr>
      </w:pPr>
      <w:r>
        <w:rPr>
          <w:rFonts w:hint="eastAsia" w:ascii="方正仿宋_GBK" w:hAnsi="方正仿宋_GBK" w:eastAsia="方正仿宋_GBK" w:cs="方正仿宋_GBK"/>
          <w:b w:val="0"/>
          <w:bCs w:val="0"/>
          <w:color w:val="auto"/>
          <w:sz w:val="28"/>
          <w:szCs w:val="28"/>
          <w:u w:val="single"/>
          <w:lang w:val="en-US" w:eastAsia="zh-CN"/>
        </w:rPr>
        <w:t xml:space="preserve">  </w:t>
      </w:r>
      <w:r>
        <w:rPr>
          <w:rFonts w:hint="eastAsia" w:ascii="方正仿宋_GBK" w:hAnsi="方正仿宋_GBK" w:eastAsia="方正仿宋_GBK" w:cs="方正仿宋_GBK"/>
          <w:b w:val="0"/>
          <w:bCs w:val="0"/>
          <w:color w:val="auto"/>
          <w:sz w:val="28"/>
          <w:szCs w:val="28"/>
          <w:u w:val="single"/>
        </w:rPr>
        <w:t>重庆市巴南区</w:t>
      </w:r>
      <w:r>
        <w:rPr>
          <w:rFonts w:hint="eastAsia" w:ascii="方正仿宋_GBK" w:hAnsi="方正仿宋_GBK" w:eastAsia="方正仿宋_GBK" w:cs="方正仿宋_GBK"/>
          <w:b w:val="0"/>
          <w:bCs w:val="0"/>
          <w:color w:val="auto"/>
          <w:sz w:val="28"/>
          <w:szCs w:val="28"/>
          <w:u w:val="single"/>
          <w:lang w:eastAsia="zh-CN"/>
        </w:rPr>
        <w:t>生态环境</w:t>
      </w:r>
      <w:r>
        <w:rPr>
          <w:rFonts w:hint="eastAsia" w:ascii="方正仿宋_GBK" w:hAnsi="方正仿宋_GBK" w:eastAsia="方正仿宋_GBK" w:cs="方正仿宋_GBK"/>
          <w:b w:val="0"/>
          <w:bCs w:val="0"/>
          <w:color w:val="auto"/>
          <w:sz w:val="28"/>
          <w:szCs w:val="28"/>
          <w:u w:val="single"/>
        </w:rPr>
        <w:t>局办公室</w:t>
      </w:r>
      <w:r>
        <w:rPr>
          <w:rFonts w:hint="eastAsia" w:ascii="方正仿宋_GBK" w:hAnsi="方正仿宋_GBK" w:eastAsia="方正仿宋_GBK" w:cs="方正仿宋_GBK"/>
          <w:b w:val="0"/>
          <w:bCs w:val="0"/>
          <w:color w:val="auto"/>
          <w:sz w:val="28"/>
          <w:szCs w:val="28"/>
          <w:u w:val="single"/>
          <w:lang w:val="en-US" w:eastAsia="zh-CN"/>
        </w:rPr>
        <w:t xml:space="preserve">           </w:t>
      </w:r>
      <w:r>
        <w:rPr>
          <w:rFonts w:hint="eastAsia" w:ascii="Times New Roman" w:hAnsi="Times New Roman" w:eastAsia="方正仿宋_GBK" w:cs="方正仿宋_GBK"/>
          <w:b w:val="0"/>
          <w:bCs w:val="0"/>
          <w:color w:val="auto"/>
          <w:sz w:val="28"/>
          <w:szCs w:val="28"/>
          <w:u w:val="single"/>
        </w:rPr>
        <w:t>202</w:t>
      </w:r>
      <w:r>
        <w:rPr>
          <w:rFonts w:hint="eastAsia" w:ascii="Times New Roman" w:hAnsi="Times New Roman" w:eastAsia="方正仿宋_GBK" w:cs="方正仿宋_GBK"/>
          <w:b w:val="0"/>
          <w:bCs w:val="0"/>
          <w:color w:val="auto"/>
          <w:sz w:val="28"/>
          <w:szCs w:val="28"/>
          <w:u w:val="single"/>
          <w:lang w:val="en-US" w:eastAsia="zh-CN"/>
        </w:rPr>
        <w:t>5</w:t>
      </w:r>
      <w:r>
        <w:rPr>
          <w:rFonts w:hint="eastAsia" w:ascii="方正仿宋_GBK" w:hAnsi="方正仿宋_GBK" w:eastAsia="方正仿宋_GBK" w:cs="方正仿宋_GBK"/>
          <w:b w:val="0"/>
          <w:bCs w:val="0"/>
          <w:color w:val="auto"/>
          <w:sz w:val="28"/>
          <w:szCs w:val="28"/>
          <w:u w:val="single"/>
        </w:rPr>
        <w:t>年</w:t>
      </w:r>
      <w:r>
        <w:rPr>
          <w:rFonts w:hint="eastAsia" w:ascii="Times New Roman" w:hAnsi="Times New Roman" w:eastAsia="方正仿宋_GBK" w:cs="方正仿宋_GBK"/>
          <w:b w:val="0"/>
          <w:bCs w:val="0"/>
          <w:color w:val="auto"/>
          <w:sz w:val="28"/>
          <w:szCs w:val="28"/>
          <w:u w:val="single"/>
          <w:lang w:val="en-US" w:eastAsia="zh-CN"/>
        </w:rPr>
        <w:t>6</w:t>
      </w:r>
      <w:r>
        <w:rPr>
          <w:rFonts w:hint="eastAsia" w:ascii="方正仿宋_GBK" w:hAnsi="方正仿宋_GBK" w:eastAsia="方正仿宋_GBK" w:cs="方正仿宋_GBK"/>
          <w:b w:val="0"/>
          <w:bCs w:val="0"/>
          <w:color w:val="auto"/>
          <w:sz w:val="28"/>
          <w:szCs w:val="28"/>
          <w:u w:val="single"/>
        </w:rPr>
        <w:t>月</w:t>
      </w:r>
      <w:r>
        <w:rPr>
          <w:rFonts w:hint="eastAsia" w:ascii="Times New Roman" w:hAnsi="Times New Roman" w:eastAsia="方正仿宋_GBK" w:cs="方正仿宋_GBK"/>
          <w:b w:val="0"/>
          <w:bCs w:val="0"/>
          <w:color w:val="auto"/>
          <w:sz w:val="28"/>
          <w:szCs w:val="28"/>
          <w:u w:val="single"/>
          <w:lang w:val="en-US" w:eastAsia="zh-CN"/>
        </w:rPr>
        <w:t>26</w:t>
      </w:r>
      <w:r>
        <w:rPr>
          <w:rFonts w:hint="eastAsia" w:ascii="方正仿宋_GBK" w:hAnsi="方正仿宋_GBK" w:eastAsia="方正仿宋_GBK" w:cs="方正仿宋_GBK"/>
          <w:b w:val="0"/>
          <w:bCs w:val="0"/>
          <w:color w:val="auto"/>
          <w:sz w:val="28"/>
          <w:szCs w:val="28"/>
          <w:u w:val="single"/>
        </w:rPr>
        <w:t>日印</w:t>
      </w:r>
      <w:r>
        <w:rPr>
          <w:rFonts w:hint="eastAsia" w:ascii="方正仿宋_GBK" w:hAnsi="方正仿宋_GBK" w:eastAsia="方正仿宋_GBK" w:cs="方正仿宋_GBK"/>
          <w:b w:val="0"/>
          <w:bCs w:val="0"/>
          <w:color w:val="auto"/>
          <w:sz w:val="28"/>
          <w:szCs w:val="28"/>
          <w:u w:val="single"/>
          <w:lang w:eastAsia="zh-CN"/>
        </w:rPr>
        <w:t>发</w:t>
      </w:r>
      <w:r>
        <w:rPr>
          <w:rFonts w:hint="eastAsia" w:ascii="方正仿宋_GBK" w:hAnsi="方正仿宋_GBK" w:eastAsia="方正仿宋_GBK" w:cs="方正仿宋_GBK"/>
          <w:b w:val="0"/>
          <w:bCs w:val="0"/>
          <w:color w:val="auto"/>
          <w:sz w:val="28"/>
          <w:szCs w:val="28"/>
          <w:u w:val="single"/>
          <w:lang w:val="en-US" w:eastAsia="zh-CN"/>
        </w:rPr>
        <w:t xml:space="preserve">  </w:t>
      </w:r>
    </w:p>
    <w:sectPr>
      <w:headerReference r:id="rId12" w:type="default"/>
      <w:footerReference r:id="rId13" w:type="default"/>
      <w:pgSz w:w="11906" w:h="16838"/>
      <w:pgMar w:top="1962" w:right="1474" w:bottom="1848" w:left="1587" w:header="851" w:footer="992" w:gutter="0"/>
      <w:pgNumType w:fmt="numberInDash"/>
      <w:cols w:space="0" w:num="1"/>
      <w:rtlGutter w:val="0"/>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国标宋体-超大字符集扩"/>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国标宋体-超大字符集扩"/>
    <w:panose1 w:val="05050102010706020507"/>
    <w:charset w:val="02"/>
    <w:family w:val="roman"/>
    <w:pitch w:val="default"/>
    <w:sig w:usb0="00000000" w:usb1="00000000" w:usb2="00000000" w:usb3="00000000" w:csb0="80000000" w:csb1="00000000"/>
  </w:font>
  <w:font w:name="Calibri">
    <w:altName w:val="Times New Roman"/>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 w:name="国标宋体-超大字符集扩">
    <w:panose1 w:val="000005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Wingdings 2">
    <w:altName w:val="国标宋体-超大字符集"/>
    <w:panose1 w:val="05020102010507070707"/>
    <w:charset w:val="00"/>
    <w:family w:val="auto"/>
    <w:pitch w:val="default"/>
    <w:sig w:usb0="00000000" w:usb1="00000000" w:usb2="00000000" w:usb3="00000000" w:csb0="80000000" w:csb1="00000000"/>
  </w:font>
  <w:font w:name="国标宋体-超大字符集">
    <w:panose1 w:val="03000509000000000000"/>
    <w:charset w:val="86"/>
    <w:family w:val="auto"/>
    <w:pitch w:val="default"/>
    <w:sig w:usb0="00000001" w:usb1="08000000" w:usb2="00000000" w:usb3="00000000" w:csb0="00040001" w:csb1="00000000"/>
  </w:font>
  <w:font w:name="仿宋_GB2312">
    <w:panose1 w:val="02010609030101010101"/>
    <w:charset w:val="86"/>
    <w:family w:val="modern"/>
    <w:pitch w:val="default"/>
    <w:sig w:usb0="00000001" w:usb1="080E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1FB05">
    <w:pPr>
      <w:pStyle w:val="6"/>
      <w:ind w:left="4788"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A8A85F">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2FA8A85F">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14:paraId="26C73467">
    <w:pPr>
      <w:pStyle w:val="6"/>
      <w:wordWrap w:val="0"/>
      <w:ind w:left="1067" w:leftChars="508" w:firstLine="10115" w:firstLineChars="3161"/>
      <w:jc w:val="right"/>
      <w:rPr>
        <w:rFonts w:hint="eastAsia" w:ascii="宋体" w:hAnsi="宋体" w:eastAsia="宋体" w:cs="宋体"/>
        <w:b/>
        <w:bCs/>
        <w:color w:val="005192"/>
        <w:sz w:val="28"/>
        <w:szCs w:val="44"/>
        <w:lang w:val="en-US" w:eastAsia="zh-CN"/>
      </w:rPr>
    </w:pPr>
    <w:r>
      <w:rPr>
        <w:color w:val="FAFAFA"/>
        <w:sz w:val="32"/>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85pt;height:0.15pt;width:442.25pt;z-index:251660288;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zp6XR1AAA&#10;AAYBAAAPAAAAAAAAAAEAIAAAACIAAABkcnMvZG93bnJldi54bWxQSwECFAAUAAAACACHTuJA8DYt&#10;KekBAAC1AwAADgAAAAAAAAABACAAAAAjAQAAZHJzL2Uyb0RvYy54bWxQSwUGAAAAAAYABgBZAQAA&#10;fgUAAAAA&#10;">
              <v:fill on="f" focussize="0,0"/>
              <v:stroke weight="1.75pt" color="#005192 [3204]" miterlimit="8" joinstyle="miter"/>
              <v:imagedata o:title=""/>
              <o:lock v:ext="edit" aspectratio="f"/>
            </v:line>
          </w:pict>
        </mc:Fallback>
      </mc:AlternateContent>
    </w:r>
    <w:r>
      <w:rPr>
        <w:rFonts w:hint="eastAsia"/>
        <w:color w:val="FAFAFA"/>
        <w:sz w:val="32"/>
        <w:lang w:val="en-US" w:eastAsia="zh-CN"/>
      </w:rPr>
      <w:t xml:space="preserve"> </w:t>
    </w:r>
    <w:r>
      <w:rPr>
        <w:rFonts w:hint="eastAsia" w:ascii="宋体" w:hAnsi="宋体" w:eastAsia="宋体" w:cs="宋体"/>
        <w:b/>
        <w:bCs/>
        <w:color w:val="005192"/>
        <w:sz w:val="28"/>
        <w:szCs w:val="44"/>
        <w:lang w:eastAsia="zh-CN"/>
      </w:rPr>
      <w:t>重庆市巴南区生态环境局</w:t>
    </w:r>
    <w:r>
      <w:rPr>
        <w:rFonts w:hint="eastAsia" w:ascii="宋体" w:hAnsi="宋体" w:eastAsia="宋体" w:cs="宋体"/>
        <w:b/>
        <w:bCs/>
        <w:color w:val="005192"/>
        <w:sz w:val="28"/>
        <w:szCs w:val="44"/>
        <w:lang w:val="en-US" w:eastAsia="zh-CN"/>
      </w:rPr>
      <w:t xml:space="preserve">发布     </w:t>
    </w:r>
  </w:p>
  <w:p w14:paraId="43086690">
    <w:pPr>
      <w:pStyle w:val="6"/>
      <w:wordWrap w:val="0"/>
      <w:ind w:left="4788" w:leftChars="2280" w:firstLine="5622" w:firstLineChars="2000"/>
      <w:jc w:val="right"/>
      <w:rPr>
        <w:rFonts w:hint="eastAsia" w:ascii="宋体" w:hAnsi="宋体" w:eastAsia="宋体" w:cs="宋体"/>
        <w:b/>
        <w:bCs/>
        <w:color w:val="005192"/>
        <w:sz w:val="28"/>
        <w:szCs w:val="44"/>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EFF7B">
    <w:pPr>
      <w:pStyle w:val="6"/>
      <w:ind w:left="4788" w:leftChars="2280" w:firstLine="6400" w:firstLineChars="2000"/>
      <w:rPr>
        <w:sz w:val="32"/>
      </w:rPr>
    </w:pPr>
    <w:r>
      <w:rPr>
        <w:sz w:val="32"/>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80BA0F">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7780BA0F">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p w14:paraId="3D8AA274">
    <w:pPr>
      <w:pStyle w:val="6"/>
      <w:ind w:left="4788" w:leftChars="2280" w:firstLine="6400" w:firstLineChars="2000"/>
      <w:rPr>
        <w:sz w:val="32"/>
      </w:rPr>
    </w:pPr>
    <w:r>
      <w:rPr>
        <w:color w:val="FAFAFA"/>
        <w:sz w:val="32"/>
      </w:rPr>
      <mc:AlternateContent>
        <mc:Choice Requires="wps">
          <w:drawing>
            <wp:anchor distT="0" distB="0" distL="114300" distR="114300" simplePos="0" relativeHeight="251663360" behindDoc="0" locked="0" layoutInCell="1" allowOverlap="1">
              <wp:simplePos x="0" y="0"/>
              <wp:positionH relativeFrom="column">
                <wp:posOffset>635</wp:posOffset>
              </wp:positionH>
              <wp:positionV relativeFrom="paragraph">
                <wp:posOffset>141605</wp:posOffset>
              </wp:positionV>
              <wp:extent cx="8749665" cy="4445"/>
              <wp:effectExtent l="0" t="10795" r="13335" b="13335"/>
              <wp:wrapNone/>
              <wp:docPr id="11" name="直接连接符 11"/>
              <wp:cNvGraphicFramePr/>
              <a:graphic xmlns:a="http://schemas.openxmlformats.org/drawingml/2006/main">
                <a:graphicData uri="http://schemas.microsoft.com/office/word/2010/wordprocessingShape">
                  <wps:wsp>
                    <wps:cNvCnPr/>
                    <wps:spPr>
                      <a:xfrm flipV="1">
                        <a:off x="0" y="0"/>
                        <a:ext cx="8749665" cy="444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0.05pt;margin-top:11.15pt;height:0.35pt;width:688.95pt;z-index:251663360;mso-width-relative:page;mso-height-relative:page;" filled="f" stroked="t" coordsize="21600,21600" o:gfxdata="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xmnSD1wAAAAcBAAAPAAAAAAAAAAEAIAAAACIAAABkcnMvZG93bnJldi54bWxQSwECFAAU&#10;AAAACACHTuJAB3Xvm/IBAADBAwAADgAAAAAAAAABACAAAAAmAQAAZHJzL2Uyb0RvYy54bWxQSwUG&#10;AAAAAAYABgBZAQAAigUAAAAA&#10;">
              <v:fill on="f" focussize="0,0"/>
              <v:stroke weight="1.75pt" color="#005192 [3204]" miterlimit="8" joinstyle="miter"/>
              <v:imagedata o:title=""/>
              <o:lock v:ext="edit" aspectratio="f"/>
            </v:line>
          </w:pict>
        </mc:Fallback>
      </mc:AlternateContent>
    </w:r>
  </w:p>
  <w:p w14:paraId="1777092A">
    <w:pPr>
      <w:pStyle w:val="6"/>
      <w:wordWrap w:val="0"/>
      <w:jc w:val="right"/>
      <w:rPr>
        <w:rFonts w:hint="eastAsia" w:ascii="宋体" w:hAnsi="宋体" w:eastAsia="宋体" w:cs="宋体"/>
        <w:b/>
        <w:bCs/>
        <w:color w:val="005192"/>
        <w:sz w:val="28"/>
        <w:szCs w:val="44"/>
        <w:lang w:val="en-US" w:eastAsia="zh-CN"/>
      </w:rPr>
    </w:pPr>
    <w:r>
      <w:rPr>
        <w:rFonts w:hint="eastAsia" w:ascii="宋体" w:hAnsi="宋体" w:eastAsia="宋体" w:cs="宋体"/>
        <w:b/>
        <w:bCs/>
        <w:color w:val="005192"/>
        <w:sz w:val="28"/>
        <w:szCs w:val="44"/>
        <w:lang w:eastAsia="zh-CN"/>
      </w:rPr>
      <w:t>重庆市巴南区生态环境局</w:t>
    </w:r>
    <w:r>
      <w:rPr>
        <w:rFonts w:hint="eastAsia" w:ascii="宋体" w:hAnsi="宋体" w:eastAsia="宋体" w:cs="宋体"/>
        <w:b/>
        <w:bCs/>
        <w:color w:val="005192"/>
        <w:sz w:val="28"/>
        <w:szCs w:val="44"/>
        <w:lang w:val="en-US" w:eastAsia="zh-CN"/>
      </w:rPr>
      <w:t>发布</w:t>
    </w:r>
    <w:r>
      <w:rPr>
        <w:rFonts w:hint="default" w:ascii="宋体" w:hAnsi="宋体" w:eastAsia="宋体" w:cs="宋体"/>
        <w:b/>
        <w:bCs/>
        <w:color w:val="005192"/>
        <w:sz w:val="28"/>
        <w:szCs w:val="44"/>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744B9">
    <w:pPr>
      <w:pStyle w:val="6"/>
      <w:ind w:left="4788" w:leftChars="2280" w:firstLine="6400" w:firstLineChars="2000"/>
      <w:rPr>
        <w:sz w:val="32"/>
      </w:rPr>
    </w:pPr>
    <w:r>
      <w:rPr>
        <w:sz w:val="32"/>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109A0D">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1D109A0D">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p w14:paraId="55FE6CA7">
    <w:pPr>
      <w:pStyle w:val="6"/>
      <w:ind w:left="4788" w:leftChars="2280" w:firstLine="6400" w:firstLineChars="2000"/>
      <w:rPr>
        <w:sz w:val="32"/>
      </w:rPr>
    </w:pPr>
    <w:r>
      <w:rPr>
        <w:color w:val="FAFAFA"/>
        <w:sz w:val="32"/>
      </w:rPr>
      <mc:AlternateContent>
        <mc:Choice Requires="wps">
          <w:drawing>
            <wp:anchor distT="0" distB="0" distL="114300" distR="114300" simplePos="0" relativeHeight="251666432" behindDoc="0" locked="0" layoutInCell="1" allowOverlap="1">
              <wp:simplePos x="0" y="0"/>
              <wp:positionH relativeFrom="column">
                <wp:posOffset>-3175</wp:posOffset>
              </wp:positionH>
              <wp:positionV relativeFrom="paragraph">
                <wp:posOffset>207010</wp:posOffset>
              </wp:positionV>
              <wp:extent cx="5610225" cy="6350"/>
              <wp:effectExtent l="0" t="0" r="0" b="0"/>
              <wp:wrapNone/>
              <wp:docPr id="21" name="直接连接符 21"/>
              <wp:cNvGraphicFramePr/>
              <a:graphic xmlns:a="http://schemas.openxmlformats.org/drawingml/2006/main">
                <a:graphicData uri="http://schemas.microsoft.com/office/word/2010/wordprocessingShape">
                  <wps:wsp>
                    <wps:cNvCnPr/>
                    <wps:spPr>
                      <a:xfrm>
                        <a:off x="0" y="0"/>
                        <a:ext cx="5610225" cy="635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25pt;margin-top:16.3pt;height:0.5pt;width:441.75pt;z-index:251666432;mso-width-relative:page;mso-height-relative:page;" filled="f" stroked="t" coordsize="21600,21600" o:gfxdata="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y0qCe&#10;1QAAAAcBAAAPAAAAAAAAAAEAIAAAACIAAABkcnMvZG93bnJldi54bWxQSwECFAAUAAAACACHTuJA&#10;UBI+Y+sBAAC3AwAADgAAAAAAAAABACAAAAAkAQAAZHJzL2Uyb0RvYy54bWxQSwUGAAAAAAYABgBZ&#10;AQAAgQUAAAAA&#10;">
              <v:fill on="f" focussize="0,0"/>
              <v:stroke weight="1.75pt" color="#005192 [3204]" miterlimit="8" joinstyle="miter"/>
              <v:imagedata o:title=""/>
              <o:lock v:ext="edit" aspectratio="f"/>
            </v:line>
          </w:pict>
        </mc:Fallback>
      </mc:AlternateContent>
    </w:r>
  </w:p>
  <w:p w14:paraId="7B320C81">
    <w:pPr>
      <w:pStyle w:val="6"/>
      <w:wordWrap w:val="0"/>
      <w:jc w:val="right"/>
      <w:rPr>
        <w:rFonts w:hint="eastAsia" w:ascii="宋体" w:hAnsi="宋体" w:eastAsia="宋体" w:cs="宋体"/>
        <w:b/>
        <w:bCs/>
        <w:color w:val="005192"/>
        <w:sz w:val="28"/>
        <w:szCs w:val="44"/>
        <w:lang w:val="en-US" w:eastAsia="zh-CN"/>
      </w:rPr>
    </w:pPr>
    <w:r>
      <w:rPr>
        <w:rFonts w:hint="eastAsia" w:ascii="宋体" w:hAnsi="宋体" w:eastAsia="宋体" w:cs="宋体"/>
        <w:b/>
        <w:bCs/>
        <w:color w:val="005192"/>
        <w:sz w:val="28"/>
        <w:szCs w:val="44"/>
        <w:lang w:eastAsia="zh-CN"/>
      </w:rPr>
      <w:t>重庆市巴南区生态环境局</w:t>
    </w:r>
    <w:r>
      <w:rPr>
        <w:rFonts w:hint="eastAsia" w:ascii="宋体" w:hAnsi="宋体" w:eastAsia="宋体" w:cs="宋体"/>
        <w:b/>
        <w:bCs/>
        <w:color w:val="005192"/>
        <w:sz w:val="28"/>
        <w:szCs w:val="44"/>
        <w:lang w:val="en-US" w:eastAsia="zh-CN"/>
      </w:rPr>
      <w:t>发布</w:t>
    </w:r>
    <w:r>
      <w:rPr>
        <w:rFonts w:hint="default" w:ascii="宋体" w:hAnsi="宋体" w:eastAsia="宋体" w:cs="宋体"/>
        <w:b/>
        <w:bCs/>
        <w:color w:val="005192"/>
        <w:sz w:val="28"/>
        <w:szCs w:val="44"/>
        <w:lang w:eastAsia="zh-C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68784">
    <w:pPr>
      <w:pStyle w:val="6"/>
      <w:ind w:left="4788" w:leftChars="2280" w:firstLine="6400" w:firstLineChars="2000"/>
      <w:rPr>
        <w:sz w:val="32"/>
      </w:rPr>
    </w:pPr>
    <w:r>
      <w:rPr>
        <w:sz w:val="32"/>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41AD86">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2941AD86">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p w14:paraId="78683B58">
    <w:pPr>
      <w:pStyle w:val="6"/>
      <w:ind w:left="4788" w:leftChars="2280" w:firstLine="6400" w:firstLineChars="2000"/>
      <w:rPr>
        <w:sz w:val="32"/>
      </w:rPr>
    </w:pPr>
    <w:r>
      <w:rPr>
        <w:color w:val="FAFAFA"/>
        <w:sz w:val="32"/>
      </w:rPr>
      <mc:AlternateContent>
        <mc:Choice Requires="wps">
          <w:drawing>
            <wp:anchor distT="0" distB="0" distL="114300" distR="114300" simplePos="0" relativeHeight="251669504" behindDoc="0" locked="0" layoutInCell="1" allowOverlap="1">
              <wp:simplePos x="0" y="0"/>
              <wp:positionH relativeFrom="column">
                <wp:posOffset>-3175</wp:posOffset>
              </wp:positionH>
              <wp:positionV relativeFrom="paragraph">
                <wp:posOffset>205105</wp:posOffset>
              </wp:positionV>
              <wp:extent cx="8752205" cy="1905"/>
              <wp:effectExtent l="0" t="10795" r="10795" b="15875"/>
              <wp:wrapNone/>
              <wp:docPr id="27" name="直接连接符 27"/>
              <wp:cNvGraphicFramePr/>
              <a:graphic xmlns:a="http://schemas.openxmlformats.org/drawingml/2006/main">
                <a:graphicData uri="http://schemas.microsoft.com/office/word/2010/wordprocessingShape">
                  <wps:wsp>
                    <wps:cNvCnPr/>
                    <wps:spPr>
                      <a:xfrm flipV="1">
                        <a:off x="0" y="0"/>
                        <a:ext cx="8752205" cy="190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0.25pt;margin-top:16.15pt;height:0.15pt;width:689.15pt;z-index:251669504;mso-width-relative:page;mso-height-relative:page;" filled="f" stroked="t" coordsize="21600,21600" o:gfxdata="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N3Y/YAAAACAEAAA8AAAAAAAAAAQAgAAAAIgAAAGRycy9kb3ducmV2LnhtbFBLAQIUABQA&#10;AAAIAIdO4kDmgFUk8AEAAMEDAAAOAAAAAAAAAAEAIAAAACcBAABkcnMvZTJvRG9jLnhtbFBLBQYA&#10;AAAABgAGAFkBAACJBQAAAAA=&#10;">
              <v:fill on="f" focussize="0,0"/>
              <v:stroke weight="1.75pt" color="#005192 [3204]" miterlimit="8" joinstyle="miter"/>
              <v:imagedata o:title=""/>
              <o:lock v:ext="edit" aspectratio="f"/>
            </v:line>
          </w:pict>
        </mc:Fallback>
      </mc:AlternateContent>
    </w:r>
  </w:p>
  <w:p w14:paraId="573C7FA7">
    <w:pPr>
      <w:pStyle w:val="6"/>
      <w:wordWrap w:val="0"/>
      <w:jc w:val="right"/>
      <w:rPr>
        <w:rFonts w:hint="eastAsia" w:ascii="宋体" w:hAnsi="宋体" w:eastAsia="宋体" w:cs="宋体"/>
        <w:b/>
        <w:bCs/>
        <w:color w:val="005192"/>
        <w:sz w:val="28"/>
        <w:szCs w:val="44"/>
        <w:lang w:val="en-US" w:eastAsia="zh-CN"/>
      </w:rPr>
    </w:pPr>
    <w:r>
      <w:rPr>
        <w:rFonts w:hint="eastAsia" w:ascii="宋体" w:hAnsi="宋体" w:eastAsia="宋体" w:cs="宋体"/>
        <w:b/>
        <w:bCs/>
        <w:color w:val="005192"/>
        <w:sz w:val="28"/>
        <w:szCs w:val="44"/>
        <w:lang w:eastAsia="zh-CN"/>
      </w:rPr>
      <w:t>重庆市巴南区生态环境局</w:t>
    </w:r>
    <w:r>
      <w:rPr>
        <w:rFonts w:hint="eastAsia" w:ascii="宋体" w:hAnsi="宋体" w:eastAsia="宋体" w:cs="宋体"/>
        <w:b/>
        <w:bCs/>
        <w:color w:val="005192"/>
        <w:sz w:val="28"/>
        <w:szCs w:val="44"/>
        <w:lang w:val="en-US" w:eastAsia="zh-CN"/>
      </w:rPr>
      <w:t>发布</w:t>
    </w:r>
    <w:r>
      <w:rPr>
        <w:rFonts w:hint="default" w:ascii="宋体" w:hAnsi="宋体" w:eastAsia="宋体" w:cs="宋体"/>
        <w:b/>
        <w:bCs/>
        <w:color w:val="005192"/>
        <w:sz w:val="28"/>
        <w:szCs w:val="44"/>
        <w:lang w:eastAsia="zh-CN"/>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218E7">
    <w:pPr>
      <w:pStyle w:val="6"/>
      <w:ind w:left="4788" w:leftChars="2280" w:firstLine="6400" w:firstLineChars="2000"/>
      <w:rPr>
        <w:sz w:val="32"/>
      </w:rPr>
    </w:pPr>
    <w:r>
      <w:rPr>
        <w:sz w:val="32"/>
      </w:rPr>
      <mc:AlternateContent>
        <mc:Choice Requires="wps">
          <w:drawing>
            <wp:anchor distT="0" distB="0" distL="114300" distR="114300" simplePos="0" relativeHeight="2516736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8C5246">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428C5246">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p w14:paraId="6A4CD3A1">
    <w:pPr>
      <w:pStyle w:val="6"/>
      <w:ind w:left="4788" w:leftChars="2280" w:firstLine="6400" w:firstLineChars="2000"/>
      <w:rPr>
        <w:sz w:val="32"/>
      </w:rPr>
    </w:pPr>
    <w:r>
      <w:rPr>
        <w:color w:val="FAFAFA"/>
        <w:sz w:val="32"/>
      </w:rPr>
      <mc:AlternateContent>
        <mc:Choice Requires="wps">
          <w:drawing>
            <wp:anchor distT="0" distB="0" distL="114300" distR="114300" simplePos="0" relativeHeight="251672576" behindDoc="0" locked="0" layoutInCell="1" allowOverlap="1">
              <wp:simplePos x="0" y="0"/>
              <wp:positionH relativeFrom="column">
                <wp:posOffset>-8255</wp:posOffset>
              </wp:positionH>
              <wp:positionV relativeFrom="paragraph">
                <wp:posOffset>241300</wp:posOffset>
              </wp:positionV>
              <wp:extent cx="5629275" cy="9525"/>
              <wp:effectExtent l="0" t="0" r="0" b="0"/>
              <wp:wrapNone/>
              <wp:docPr id="33" name="直接连接符 33"/>
              <wp:cNvGraphicFramePr/>
              <a:graphic xmlns:a="http://schemas.openxmlformats.org/drawingml/2006/main">
                <a:graphicData uri="http://schemas.microsoft.com/office/word/2010/wordprocessingShape">
                  <wps:wsp>
                    <wps:cNvCnPr/>
                    <wps:spPr>
                      <a:xfrm>
                        <a:off x="0" y="0"/>
                        <a:ext cx="5629275" cy="952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65pt;margin-top:19pt;height:0.75pt;width:443.25pt;z-index:251672576;mso-width-relative:page;mso-height-relative:page;" filled="f" stroked="t" coordsize="21600,21600" o:gfxdata="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tW&#10;z5bWAAAACAEAAA8AAAAAAAAAAQAgAAAAIgAAAGRycy9kb3ducmV2LnhtbFBLAQIUABQAAAAIAIdO&#10;4kAYTq7d7AEAALcDAAAOAAAAAAAAAAEAIAAAACUBAABkcnMvZTJvRG9jLnhtbFBLBQYAAAAABgAG&#10;AFkBAACDBQAAAAA=&#10;">
              <v:fill on="f" focussize="0,0"/>
              <v:stroke weight="1.75pt" color="#005192 [3204]" miterlimit="8" joinstyle="miter"/>
              <v:imagedata o:title=""/>
              <o:lock v:ext="edit" aspectratio="f"/>
            </v:line>
          </w:pict>
        </mc:Fallback>
      </mc:AlternateContent>
    </w:r>
  </w:p>
  <w:p w14:paraId="25D1BA31">
    <w:pPr>
      <w:pStyle w:val="6"/>
      <w:wordWrap w:val="0"/>
      <w:jc w:val="right"/>
      <w:rPr>
        <w:rFonts w:hint="eastAsia" w:ascii="宋体" w:hAnsi="宋体" w:eastAsia="宋体" w:cs="宋体"/>
        <w:b/>
        <w:bCs/>
        <w:color w:val="005192"/>
        <w:sz w:val="28"/>
        <w:szCs w:val="44"/>
        <w:lang w:val="en-US" w:eastAsia="zh-CN"/>
      </w:rPr>
    </w:pPr>
    <w:r>
      <w:rPr>
        <w:rFonts w:hint="eastAsia" w:ascii="宋体" w:hAnsi="宋体" w:eastAsia="宋体" w:cs="宋体"/>
        <w:b/>
        <w:bCs/>
        <w:color w:val="005192"/>
        <w:sz w:val="28"/>
        <w:szCs w:val="44"/>
        <w:lang w:eastAsia="zh-CN"/>
      </w:rPr>
      <w:t>重庆市巴南区生态环境局</w:t>
    </w:r>
    <w:r>
      <w:rPr>
        <w:rFonts w:hint="eastAsia" w:ascii="宋体" w:hAnsi="宋体" w:eastAsia="宋体" w:cs="宋体"/>
        <w:b/>
        <w:bCs/>
        <w:color w:val="005192"/>
        <w:sz w:val="28"/>
        <w:szCs w:val="44"/>
        <w:lang w:val="en-US" w:eastAsia="zh-CN"/>
      </w:rPr>
      <w:t>发布</w:t>
    </w:r>
    <w:r>
      <w:rPr>
        <w:rFonts w:hint="default" w:ascii="宋体" w:hAnsi="宋体" w:eastAsia="宋体" w:cs="宋体"/>
        <w:b/>
        <w:bCs/>
        <w:color w:val="005192"/>
        <w:sz w:val="28"/>
        <w:szCs w:val="4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7763E622">
      <w:pPr>
        <w:snapToGrid w:val="0"/>
        <w:jc w:val="both"/>
        <w:rPr>
          <w:rFonts w:hint="eastAsia" w:ascii="方正仿宋_GBK" w:hAnsi="方正仿宋_GBK" w:eastAsia="方正仿宋_GBK" w:cs="方正仿宋_GBK"/>
        </w:rPr>
      </w:pPr>
      <w:r>
        <w:rPr>
          <w:rStyle w:val="13"/>
          <w:rFonts w:hint="eastAsia" w:ascii="方正仿宋_GBK" w:hAnsi="方正仿宋_GBK" w:eastAsia="方正仿宋_GBK" w:cs="方正仿宋_GBK"/>
        </w:rPr>
        <w:footnoteRef/>
      </w:r>
      <w:r>
        <w:rPr>
          <w:rFonts w:hint="eastAsia" w:ascii="方正仿宋_GBK" w:hAnsi="方正仿宋_GBK" w:eastAsia="方正仿宋_GBK" w:cs="方正仿宋_GBK"/>
        </w:rPr>
        <w:t xml:space="preserve"> </w:t>
      </w:r>
      <w:r>
        <w:rPr>
          <w:rFonts w:hint="eastAsia" w:ascii="方正仿宋_GBK" w:hAnsi="方正仿宋_GBK" w:eastAsia="方正仿宋_GBK" w:cs="方正仿宋_GBK"/>
          <w:color w:val="auto"/>
          <w:kern w:val="2"/>
          <w:sz w:val="21"/>
          <w:szCs w:val="21"/>
          <w:lang w:val="en-US" w:eastAsia="zh-CN" w:bidi="ar-SA"/>
          <w14:ligatures w14:val="standardContextual"/>
        </w:rPr>
        <w:t>根据</w:t>
      </w:r>
      <w:r>
        <w:rPr>
          <w:rFonts w:hint="eastAsia" w:ascii="方正仿宋_GBK" w:hAnsi="方正仿宋_GBK" w:eastAsia="方正仿宋_GBK" w:cs="方正仿宋_GBK"/>
          <w:color w:val="auto"/>
          <w:sz w:val="21"/>
          <w:szCs w:val="21"/>
          <w:lang w:val="en-US" w:eastAsia="zh-CN"/>
          <w14:ligatures w14:val="standardContextual"/>
        </w:rPr>
        <w:t>《重庆市生态环境局关于强化固体废物信息化管理有关工作的通知》（渝环规〔2021〕3号），</w:t>
      </w:r>
      <w:r>
        <w:rPr>
          <w:rFonts w:hint="eastAsia" w:ascii="方正仿宋_GBK" w:hAnsi="方正仿宋_GBK" w:eastAsia="方正仿宋_GBK" w:cs="方正仿宋_GBK"/>
          <w:i w:val="0"/>
          <w:iCs w:val="0"/>
          <w:caps w:val="0"/>
          <w:color w:val="auto"/>
          <w:spacing w:val="0"/>
          <w:sz w:val="21"/>
          <w:szCs w:val="21"/>
          <w14:ligatures w14:val="standardContextual"/>
        </w:rPr>
        <w:t>规模以上企业</w:t>
      </w:r>
      <w:r>
        <w:rPr>
          <w:rFonts w:hint="eastAsia" w:ascii="方正仿宋_GBK" w:hAnsi="方正仿宋_GBK" w:eastAsia="方正仿宋_GBK" w:cs="方正仿宋_GBK"/>
          <w:i w:val="0"/>
          <w:iCs w:val="0"/>
          <w:caps w:val="0"/>
          <w:color w:val="auto"/>
          <w:spacing w:val="0"/>
          <w:kern w:val="2"/>
          <w:sz w:val="21"/>
          <w:szCs w:val="21"/>
          <w:lang w:val="en-US" w:eastAsia="zh-CN" w:bidi="ar-SA"/>
          <w14:ligatures w14:val="standardContextual"/>
        </w:rPr>
        <w:t>指</w:t>
      </w:r>
      <w:r>
        <w:rPr>
          <w:rFonts w:hint="eastAsia" w:ascii="方正仿宋_GBK" w:hAnsi="方正仿宋_GBK" w:eastAsia="方正仿宋_GBK" w:cs="方正仿宋_GBK"/>
          <w:i w:val="0"/>
          <w:iCs w:val="0"/>
          <w:caps w:val="0"/>
          <w:color w:val="auto"/>
          <w:spacing w:val="0"/>
          <w:sz w:val="21"/>
          <w:szCs w:val="21"/>
          <w14:ligatures w14:val="standardContextual"/>
        </w:rPr>
        <w:t>年产品销售收入2000万元以上（含）的工业企业</w:t>
      </w:r>
      <w:r>
        <w:rPr>
          <w:rFonts w:hint="eastAsia" w:ascii="方正仿宋_GBK" w:hAnsi="方正仿宋_GBK" w:eastAsia="方正仿宋_GBK" w:cs="方正仿宋_GBK"/>
          <w:i w:val="0"/>
          <w:iCs w:val="0"/>
          <w:caps w:val="0"/>
          <w:color w:val="auto"/>
          <w:spacing w:val="0"/>
          <w:kern w:val="2"/>
          <w:sz w:val="21"/>
          <w:szCs w:val="21"/>
          <w:lang w:val="en-US" w:eastAsia="zh-CN" w:bidi="ar-SA"/>
          <w14:ligatures w14:val="standardContextua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0A2A5">
    <w:pPr>
      <w:pStyle w:val="6"/>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themeColor="text1"/>
        <w:sz w:val="32"/>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690245</wp:posOffset>
              </wp:positionV>
              <wp:extent cx="5620385" cy="0"/>
              <wp:effectExtent l="0" t="12700" r="18415" b="15875"/>
              <wp:wrapNone/>
              <wp:docPr id="4" name="直接连接符 4"/>
              <wp:cNvGraphicFramePr/>
              <a:graphic xmlns:a="http://schemas.openxmlformats.org/drawingml/2006/main">
                <a:graphicData uri="http://schemas.microsoft.com/office/word/2010/wordprocessingShape">
                  <wps:wsp>
                    <wps:cNvCnPr/>
                    <wps:spPr>
                      <a:xfrm>
                        <a:off x="4133850" y="864870"/>
                        <a:ext cx="562038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4.35pt;height:0pt;width:442.55pt;z-index:251659264;mso-width-relative:page;mso-height-relative:page;" filled="f" stroked="t" coordsize="21600,21600" o:gfxdata="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3EeSs1AAAAAgBAAAPAAAAAAAAAAEAIAAAACIAAABkcnMvZG93bnJldi54bWxQSwECFAAUAAAA&#10;CACHTuJABe67HvIBAAC9AwAADgAAAAAAAAABACAAAAAjAQAAZHJzL2Uyb0RvYy54bWxQSwUGAAAA&#10;AAYABgBZAQAAhwUAAAAA&#10;">
              <v:fill on="f" focussize="0,0"/>
              <v:stroke weight="1.75pt" color="#005192 [3204]" miterlimit="8" joinstyle="miter"/>
              <v:imagedata o:title=""/>
              <o:lock v:ext="edit" aspectratio="f"/>
            </v:line>
          </w:pict>
        </mc:Fallback>
      </mc:AlternateContent>
    </w:r>
  </w:p>
  <w:p w14:paraId="05C0F548">
    <w:pPr>
      <w:pStyle w:val="6"/>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1430" b="11430"/>
          <wp:docPr id="6"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CN"/>
      </w:rPr>
      <w:t>重庆市巴南区生态环境局</w:t>
    </w:r>
    <w:r>
      <w:rPr>
        <w:rFonts w:hint="eastAsia" w:ascii="宋体" w:hAnsi="宋体" w:eastAsia="宋体" w:cs="宋体"/>
        <w:b/>
        <w:bCs/>
        <w:color w:val="005192"/>
        <w:sz w:val="32"/>
        <w:szCs w:val="32"/>
        <w:lang w:val="en-US" w:eastAsia="zh-Hans"/>
      </w:rPr>
      <w:t>规范性文件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A4585">
    <w:pPr>
      <w:pStyle w:val="6"/>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-2540</wp:posOffset>
              </wp:positionH>
              <wp:positionV relativeFrom="paragraph">
                <wp:posOffset>447040</wp:posOffset>
              </wp:positionV>
              <wp:extent cx="8759825" cy="15240"/>
              <wp:effectExtent l="0" t="0" r="0" b="0"/>
              <wp:wrapNone/>
              <wp:docPr id="2" name="直接连接符 2"/>
              <wp:cNvGraphicFramePr/>
              <a:graphic xmlns:a="http://schemas.openxmlformats.org/drawingml/2006/main">
                <a:graphicData uri="http://schemas.microsoft.com/office/word/2010/wordprocessingShape">
                  <wps:wsp>
                    <wps:cNvCnPr/>
                    <wps:spPr>
                      <a:xfrm flipV="1">
                        <a:off x="4133850" y="864870"/>
                        <a:ext cx="8759825" cy="1524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0.2pt;margin-top:35.2pt;height:1.2pt;width:689.75pt;z-index:251662336;mso-width-relative:page;mso-height-relative:page;" filled="f" stroked="t" coordsize="21600,21600" o:gfxdata="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wg1RvaAAAACAEAAA8AAAAAAAAAAQAgAAAAIgAAAGRycy9k&#10;b3ducmV2LnhtbFBLAQIUABQAAAAIAIdO4kABZawUAAIAAMsDAAAOAAAAAAAAAAEAIAAAACkBAABk&#10;cnMvZTJvRG9jLnhtbFBLBQYAAAAABgAGAFkBAACbBQAAAAA=&#10;">
              <v:fill on="f" focussize="0,0"/>
              <v:stroke weight="1.75pt" color="#005192 [3204]" miterlimit="8" joinstyle="miter"/>
              <v:imagedata o:title=""/>
              <o:lock v:ext="edit" aspectratio="f"/>
            </v:line>
          </w:pict>
        </mc:Fallback>
      </mc:AlternateContent>
    </w:r>
    <w:r>
      <w:rPr>
        <w:rFonts w:hint="eastAsia" w:ascii="宋体" w:hAnsi="宋体" w:eastAsia="宋体" w:cs="宋体"/>
        <w:b/>
        <w:bCs/>
        <w:color w:val="005192"/>
        <w:sz w:val="32"/>
      </w:rPr>
      <w:drawing>
        <wp:inline distT="0" distB="0" distL="114300" distR="114300">
          <wp:extent cx="308610" cy="308610"/>
          <wp:effectExtent l="0" t="0" r="21590" b="21590"/>
          <wp:docPr id="3" name="图片 3"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CN"/>
      </w:rPr>
      <w:t>重庆市巴南区生态环境局</w:t>
    </w:r>
    <w:r>
      <w:rPr>
        <w:rFonts w:hint="eastAsia" w:ascii="宋体" w:hAnsi="宋体" w:eastAsia="宋体" w:cs="宋体"/>
        <w:b/>
        <w:bCs/>
        <w:color w:val="005192"/>
        <w:sz w:val="32"/>
        <w:szCs w:val="32"/>
        <w:lang w:val="en-US" w:eastAsia="zh-Hans"/>
      </w:rPr>
      <w:t>规范性文件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81CF5">
    <w:pPr>
      <w:pStyle w:val="6"/>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6350</wp:posOffset>
              </wp:positionH>
              <wp:positionV relativeFrom="paragraph">
                <wp:posOffset>681355</wp:posOffset>
              </wp:positionV>
              <wp:extent cx="5610225" cy="0"/>
              <wp:effectExtent l="0" t="10795" r="9525" b="17780"/>
              <wp:wrapNone/>
              <wp:docPr id="17" name="直接连接符 17"/>
              <wp:cNvGraphicFramePr/>
              <a:graphic xmlns:a="http://schemas.openxmlformats.org/drawingml/2006/main">
                <a:graphicData uri="http://schemas.microsoft.com/office/word/2010/wordprocessingShape">
                  <wps:wsp>
                    <wps:cNvCnPr/>
                    <wps:spPr>
                      <a:xfrm>
                        <a:off x="4133850" y="864870"/>
                        <a:ext cx="561022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5pt;margin-top:53.65pt;height:0pt;width:441.75pt;z-index:251665408;mso-width-relative:page;mso-height-relative:page;" filled="f" stroked="t" coordsize="21600,21600" o:gfxdata="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GD9dUAAAAJAQAADwAAAAAAAAABACAAAAAiAAAAZHJzL2Rvd25yZXYueG1sUEsBAhQA&#10;FAAAAAgAh07iQAQhxRn1AQAAvwMAAA4AAAAAAAAAAQAgAAAAJAEAAGRycy9lMm9Eb2MueG1sUEsF&#10;BgAAAAAGAAYAWQEAAIsFAAAAAA==&#10;">
              <v:fill on="f" focussize="0,0"/>
              <v:stroke weight="1.75pt" color="#005192 [3204]" miterlimit="8" joinstyle="miter"/>
              <v:imagedata o:title=""/>
              <o:lock v:ext="edit" aspectratio="f"/>
            </v:line>
          </w:pict>
        </mc:Fallback>
      </mc:AlternateContent>
    </w:r>
  </w:p>
  <w:p w14:paraId="7C14B839">
    <w:pPr>
      <w:pStyle w:val="6"/>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19" name="图片 19"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CN"/>
      </w:rPr>
      <w:t>重庆市巴南区生态环境局</w:t>
    </w:r>
    <w:r>
      <w:rPr>
        <w:rFonts w:hint="eastAsia" w:ascii="宋体" w:hAnsi="宋体" w:eastAsia="宋体" w:cs="宋体"/>
        <w:b/>
        <w:bCs/>
        <w:color w:val="005192"/>
        <w:sz w:val="32"/>
        <w:szCs w:val="32"/>
        <w:lang w:val="en-US" w:eastAsia="zh-Hans"/>
      </w:rPr>
      <w:t>规范性文件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8097B">
    <w:pPr>
      <w:pStyle w:val="6"/>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6350</wp:posOffset>
              </wp:positionH>
              <wp:positionV relativeFrom="paragraph">
                <wp:posOffset>681355</wp:posOffset>
              </wp:positionV>
              <wp:extent cx="8747760" cy="9525"/>
              <wp:effectExtent l="0" t="0" r="0" b="0"/>
              <wp:wrapNone/>
              <wp:docPr id="22" name="直接连接符 22"/>
              <wp:cNvGraphicFramePr/>
              <a:graphic xmlns:a="http://schemas.openxmlformats.org/drawingml/2006/main">
                <a:graphicData uri="http://schemas.microsoft.com/office/word/2010/wordprocessingShape">
                  <wps:wsp>
                    <wps:cNvCnPr/>
                    <wps:spPr>
                      <a:xfrm>
                        <a:off x="4133850" y="864870"/>
                        <a:ext cx="8747760" cy="952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5pt;margin-top:53.65pt;height:0.75pt;width:688.8pt;z-index:251668480;mso-width-relative:page;mso-height-relative:page;" filled="f" stroked="t" coordsize="21600,21600" o:gfxdata="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SeR/NYAAAAKAQAADwAAAAAAAAABACAAAAAiAAAAZHJzL2Rvd25yZXYueG1sUEsB&#10;AhQAFAAAAAgAh07iQCnLEmD3AQAAwgMAAA4AAAAAAAAAAQAgAAAAJQEAAGRycy9lMm9Eb2MueG1s&#10;UEsFBgAAAAAGAAYAWQEAAI4FAAAAAA==&#10;">
              <v:fill on="f" focussize="0,0"/>
              <v:stroke weight="1.75pt" color="#005192 [3204]" miterlimit="8" joinstyle="miter"/>
              <v:imagedata o:title=""/>
              <o:lock v:ext="edit" aspectratio="f"/>
            </v:line>
          </w:pict>
        </mc:Fallback>
      </mc:AlternateContent>
    </w:r>
  </w:p>
  <w:p w14:paraId="4C4B57D8">
    <w:pPr>
      <w:pStyle w:val="6"/>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23" name="图片 23"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CN"/>
      </w:rPr>
      <w:t>重庆市巴南区生态环境局</w:t>
    </w:r>
    <w:r>
      <w:rPr>
        <w:rFonts w:hint="eastAsia" w:ascii="宋体" w:hAnsi="宋体" w:eastAsia="宋体" w:cs="宋体"/>
        <w:b/>
        <w:bCs/>
        <w:color w:val="005192"/>
        <w:sz w:val="32"/>
        <w:szCs w:val="32"/>
        <w:lang w:val="en-US" w:eastAsia="zh-Hans"/>
      </w:rPr>
      <w:t>规范性文件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1DE92">
    <w:pPr>
      <w:pStyle w:val="6"/>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rPr>
    </w:pPr>
  </w:p>
  <w:p w14:paraId="5266ACB2">
    <w:pPr>
      <w:pStyle w:val="6"/>
      <w:keepNext w:val="0"/>
      <w:keepLines w:val="0"/>
      <w:pageBreakBefore w:val="0"/>
      <w:widowControl w:val="0"/>
      <w:kinsoku/>
      <w:wordWrap/>
      <w:overflowPunct/>
      <w:topLinePunct w:val="0"/>
      <w:autoSpaceDE/>
      <w:autoSpaceDN/>
      <w:bidi w:val="0"/>
      <w:adjustRightInd/>
      <w:snapToGrid w:val="0"/>
      <w:ind w:firstLine="0" w:firstLineChars="0"/>
      <w:textAlignment w:val="center"/>
      <w:rPr>
        <w:rFonts w:hint="eastAsia" w:ascii="宋体" w:hAnsi="宋体" w:eastAsia="宋体" w:cs="宋体"/>
        <w:b/>
        <w:bCs/>
        <w:color w:val="005192"/>
        <w:sz w:val="32"/>
        <w:szCs w:val="32"/>
        <w:lang w:val="en-US" w:eastAsia="zh-Hans"/>
      </w:rPr>
    </w:pPr>
    <w:r>
      <w:rPr>
        <w:rFonts w:hint="eastAsia" w:ascii="宋体" w:hAnsi="宋体" w:eastAsia="宋体" w:cs="宋体"/>
        <w:b/>
        <w:bCs/>
        <w:color w:val="005192"/>
        <w:sz w:val="32"/>
      </w:rPr>
      <w:drawing>
        <wp:inline distT="0" distB="0" distL="114300" distR="114300">
          <wp:extent cx="308610" cy="308610"/>
          <wp:effectExtent l="0" t="0" r="15240" b="15240"/>
          <wp:docPr id="31" name="图片 31"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CN"/>
      </w:rPr>
      <w:t>重庆市巴南区生态环境局</w:t>
    </w:r>
    <w:r>
      <w:rPr>
        <w:rFonts w:hint="eastAsia" w:ascii="宋体" w:hAnsi="宋体" w:eastAsia="宋体" w:cs="宋体"/>
        <w:b/>
        <w:bCs/>
        <w:color w:val="005192"/>
        <w:sz w:val="32"/>
        <w:szCs w:val="32"/>
        <w:lang w:val="en-US" w:eastAsia="zh-Hans"/>
      </w:rPr>
      <w:t>规范性文件</w:t>
    </w:r>
  </w:p>
  <w:p w14:paraId="03D56415">
    <w:pPr>
      <w:pStyle w:val="6"/>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10795</wp:posOffset>
              </wp:positionH>
              <wp:positionV relativeFrom="paragraph">
                <wp:posOffset>103505</wp:posOffset>
              </wp:positionV>
              <wp:extent cx="5610225" cy="9525"/>
              <wp:effectExtent l="0" t="0" r="0" b="0"/>
              <wp:wrapNone/>
              <wp:docPr id="28" name="直接连接符 28"/>
              <wp:cNvGraphicFramePr/>
              <a:graphic xmlns:a="http://schemas.openxmlformats.org/drawingml/2006/main">
                <a:graphicData uri="http://schemas.microsoft.com/office/word/2010/wordprocessingShape">
                  <wps:wsp>
                    <wps:cNvCnPr/>
                    <wps:spPr>
                      <a:xfrm flipV="1">
                        <a:off x="4133850" y="864870"/>
                        <a:ext cx="5610225" cy="952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0.85pt;margin-top:8.15pt;height:0.75pt;width:441.75pt;z-index:251671552;mso-width-relative:page;mso-height-relative:page;" filled="f" stroked="t" coordsize="21600,21600" o:gfxdata="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gZW+DWAAAABwEAAA8AAAAAAAAAAQAgAAAAIgAAAGRycy9kb3ducmV2&#10;LnhtbFBLAQIUABQAAAAIAIdO4kBihegW/gEAAMwDAAAOAAAAAAAAAAEAIAAAACUBAABkcnMvZTJv&#10;RG9jLnhtbFBLBQYAAAAABgAGAFkBAACVBQAAAAA=&#10;">
              <v:fill on="f" focussize="0,0"/>
              <v:stroke weight="1.75pt" color="#005192 [3204]" miterlimit="8" joinstyle="miter"/>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28054C"/>
    <w:multiLevelType w:val="singleLevel"/>
    <w:tmpl w:val="B128054C"/>
    <w:lvl w:ilvl="0" w:tentative="0">
      <w:start w:val="1"/>
      <w:numFmt w:val="decimal"/>
      <w:suff w:val="nothing"/>
      <w:lvlText w:val="%1．"/>
      <w:lvlJc w:val="left"/>
      <w:pPr>
        <w:ind w:left="0" w:firstLine="4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revisionView w:markup="0"/>
  <w:trackRevisions w:val="1"/>
  <w:documentProtection w:enforcement="0"/>
  <w:defaultTabStop w:val="420"/>
  <w:drawingGridVerticalSpacing w:val="158"/>
  <w:displayHorizontalDrawingGridEvery w:val="1"/>
  <w:displayVerticalDrawingGridEvery w:val="2"/>
  <w:noPunctuationKerning w:val="1"/>
  <w:characterSpacingControl w:val="compressPunctuation"/>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19E71BD"/>
    <w:rsid w:val="01E93D58"/>
    <w:rsid w:val="02BC7D06"/>
    <w:rsid w:val="036A7762"/>
    <w:rsid w:val="03DD6186"/>
    <w:rsid w:val="04B679C3"/>
    <w:rsid w:val="05F07036"/>
    <w:rsid w:val="06E00104"/>
    <w:rsid w:val="080812F8"/>
    <w:rsid w:val="080F63D8"/>
    <w:rsid w:val="092263E9"/>
    <w:rsid w:val="09341458"/>
    <w:rsid w:val="09626E19"/>
    <w:rsid w:val="098254C2"/>
    <w:rsid w:val="0A766EDE"/>
    <w:rsid w:val="0A9450C5"/>
    <w:rsid w:val="0AD64BE8"/>
    <w:rsid w:val="0B0912D7"/>
    <w:rsid w:val="0BBC2B25"/>
    <w:rsid w:val="0CB132AE"/>
    <w:rsid w:val="0E025194"/>
    <w:rsid w:val="0EEF0855"/>
    <w:rsid w:val="11DB7C71"/>
    <w:rsid w:val="134A4B46"/>
    <w:rsid w:val="134C32F1"/>
    <w:rsid w:val="152D2DCA"/>
    <w:rsid w:val="187168EA"/>
    <w:rsid w:val="18B65BCE"/>
    <w:rsid w:val="196673CA"/>
    <w:rsid w:val="1CF734C9"/>
    <w:rsid w:val="1DEC284C"/>
    <w:rsid w:val="1E0B41DC"/>
    <w:rsid w:val="1E6523AC"/>
    <w:rsid w:val="222C20A9"/>
    <w:rsid w:val="22440422"/>
    <w:rsid w:val="22BB4BBB"/>
    <w:rsid w:val="22F56BF1"/>
    <w:rsid w:val="25EB1AF4"/>
    <w:rsid w:val="2CD76F26"/>
    <w:rsid w:val="2DD05FE1"/>
    <w:rsid w:val="2EAE3447"/>
    <w:rsid w:val="2F575D82"/>
    <w:rsid w:val="30510C33"/>
    <w:rsid w:val="31A15F24"/>
    <w:rsid w:val="327EEE13"/>
    <w:rsid w:val="348B3EF5"/>
    <w:rsid w:val="36FB1DF0"/>
    <w:rsid w:val="39316051"/>
    <w:rsid w:val="395347B5"/>
    <w:rsid w:val="39A232A0"/>
    <w:rsid w:val="39E745AA"/>
    <w:rsid w:val="3AA74B40"/>
    <w:rsid w:val="3B5A6BBB"/>
    <w:rsid w:val="3CA154E3"/>
    <w:rsid w:val="3DEE4511"/>
    <w:rsid w:val="3EDA13A6"/>
    <w:rsid w:val="3FF56C14"/>
    <w:rsid w:val="417B75E9"/>
    <w:rsid w:val="42430A63"/>
    <w:rsid w:val="42F058B7"/>
    <w:rsid w:val="436109F6"/>
    <w:rsid w:val="441A38D4"/>
    <w:rsid w:val="444B446B"/>
    <w:rsid w:val="4504239D"/>
    <w:rsid w:val="46E73C74"/>
    <w:rsid w:val="4BC77339"/>
    <w:rsid w:val="4C9236C5"/>
    <w:rsid w:val="4DDF5E1B"/>
    <w:rsid w:val="4E250A85"/>
    <w:rsid w:val="4FC450D1"/>
    <w:rsid w:val="4FFD4925"/>
    <w:rsid w:val="505C172E"/>
    <w:rsid w:val="506405EA"/>
    <w:rsid w:val="52F46F0B"/>
    <w:rsid w:val="532B6A10"/>
    <w:rsid w:val="539E4E99"/>
    <w:rsid w:val="53D8014D"/>
    <w:rsid w:val="550C209A"/>
    <w:rsid w:val="55E064E0"/>
    <w:rsid w:val="55E621CB"/>
    <w:rsid w:val="572C6D10"/>
    <w:rsid w:val="596A0A97"/>
    <w:rsid w:val="5B6E3C8A"/>
    <w:rsid w:val="5C9E5C0F"/>
    <w:rsid w:val="5D537A94"/>
    <w:rsid w:val="5DC34279"/>
    <w:rsid w:val="5FCD688E"/>
    <w:rsid w:val="5FF9BDAA"/>
    <w:rsid w:val="5FFF69B7"/>
    <w:rsid w:val="608816D1"/>
    <w:rsid w:val="60EF4E7F"/>
    <w:rsid w:val="617B38CD"/>
    <w:rsid w:val="648B0A32"/>
    <w:rsid w:val="649F0B1D"/>
    <w:rsid w:val="64FF5638"/>
    <w:rsid w:val="658F6764"/>
    <w:rsid w:val="665233C1"/>
    <w:rsid w:val="66622BFD"/>
    <w:rsid w:val="69AC0D42"/>
    <w:rsid w:val="6AD9688B"/>
    <w:rsid w:val="6B68303F"/>
    <w:rsid w:val="6B910106"/>
    <w:rsid w:val="6C1E4FC7"/>
    <w:rsid w:val="6D0E3F22"/>
    <w:rsid w:val="6DDD3AD6"/>
    <w:rsid w:val="709C1A26"/>
    <w:rsid w:val="719C5A56"/>
    <w:rsid w:val="744E4660"/>
    <w:rsid w:val="753355A2"/>
    <w:rsid w:val="759F1C61"/>
    <w:rsid w:val="769F2DE8"/>
    <w:rsid w:val="76FDEB7C"/>
    <w:rsid w:val="79A13C0A"/>
    <w:rsid w:val="79C65162"/>
    <w:rsid w:val="79EE7E31"/>
    <w:rsid w:val="7BE853A1"/>
    <w:rsid w:val="7C9011D9"/>
    <w:rsid w:val="7DC651C5"/>
    <w:rsid w:val="7F102A13"/>
    <w:rsid w:val="7FCC2834"/>
    <w:rsid w:val="92DD1CEF"/>
    <w:rsid w:val="BD9D1569"/>
    <w:rsid w:val="EBDDA9D0"/>
    <w:rsid w:val="F05B4F69"/>
    <w:rsid w:val="F7F902F6"/>
    <w:rsid w:val="F97D9566"/>
    <w:rsid w:val="FDFF41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0"/>
    <w:pPr>
      <w:ind w:firstLine="420" w:firstLineChars="200"/>
    </w:pPr>
    <w:rPr>
      <w:szCs w:val="33"/>
    </w:rPr>
  </w:style>
  <w:style w:type="paragraph" w:styleId="4">
    <w:name w:val="annotation text"/>
    <w:basedOn w:val="1"/>
    <w:qFormat/>
    <w:uiPriority w:val="0"/>
    <w:pPr>
      <w:jc w:val="left"/>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table" w:styleId="9">
    <w:name w:val="Table Grid"/>
    <w:basedOn w:val="8"/>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bCs/>
    </w:rPr>
  </w:style>
  <w:style w:type="character" w:styleId="12">
    <w:name w:val="Hyperlink"/>
    <w:basedOn w:val="10"/>
    <w:unhideWhenUsed/>
    <w:qFormat/>
    <w:uiPriority w:val="99"/>
    <w:rPr>
      <w:color w:val="0563C1" w:themeColor="hyperlink"/>
      <w:u w:val="single"/>
      <w14:textFill>
        <w14:solidFill>
          <w14:schemeClr w14:val="hlink"/>
        </w14:solidFill>
      </w14:textFill>
    </w:rPr>
  </w:style>
  <w:style w:type="character" w:styleId="13">
    <w:name w:val="footnote reference"/>
    <w:basedOn w:val="10"/>
    <w:semiHidden/>
    <w:unhideWhenUsed/>
    <w:qFormat/>
    <w:uiPriority w:val="99"/>
    <w:rPr>
      <w:vertAlign w:val="superscript"/>
    </w:rPr>
  </w:style>
  <w:style w:type="paragraph" w:customStyle="1" w:styleId="14">
    <w:name w:val="p0"/>
    <w:basedOn w:val="1"/>
    <w:qFormat/>
    <w:uiPriority w:val="0"/>
    <w:pPr>
      <w:widowControl/>
    </w:pPr>
    <w:rPr>
      <w:rFonts w:ascii="Calibri" w:hAnsi="Calibri" w:eastAsia="宋体" w:cs="宋体"/>
      <w:kern w:val="0"/>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footer" Target="footer2.xml"/><Relationship Id="rId6" Type="http://schemas.openxmlformats.org/officeDocument/2006/relationships/header" Target="head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jpe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52</Pages>
  <Words>18809</Words>
  <Characters>19838</Characters>
  <Lines>1</Lines>
  <Paragraphs>1</Paragraphs>
  <TotalTime>10</TotalTime>
  <ScaleCrop>false</ScaleCrop>
  <LinksUpToDate>false</LinksUpToDate>
  <CharactersWithSpaces>20523</CharactersWithSpaces>
  <Application>WPS Office_12.8.2.1119_F1E327BC-269C-435d-A152-05C5408002CA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2021-09-11T18:41:00Z</dcterms:created>
  <dc:creator>t</dc:creator>
  <cp:lastModifiedBy>胖虎</cp:lastModifiedBy>
  <cp:lastPrinted>2022-06-07T08:09:00Z</cp:lastPrinted>
  <dcterms:modified xsi:type="dcterms:W3CDTF">2026-02-02T17:07:20Z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2052-12.8.2.1119</vt:lpwstr>
  </property>
  <property fmtid="{D5CDD505-2E9C-101B-9397-08002B2CF9AE}" pid="3" name="ICV">
    <vt:lpwstr>48C61CB29D3F4D9384F5922CF0F7FFB4</vt:lpwstr>
  </property>
  <property fmtid="{D5CDD505-2E9C-101B-9397-08002B2CF9AE}" pid="4" name="KSOTemplateDocerSaveRecord">
    <vt:lpwstr>eyJoZGlkIjoiZmQ5NjY4NThhNGQ1NGEzZjQwMDBiNzBlNGJkY2UzMzYiLCJ1c2VySWQiOiI1ODA2NjkwMTEifQ==</vt:lpwstr>
  </property>
</Properties>
</file>