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9"/>
        <w:rPr>
          <w:rFonts w:hint="eastAsia" w:ascii="方正小标宋_GBK" w:hAnsi="方正小标宋_GBK" w:eastAsia="方正小标宋_GBK" w:cs="方正小标宋_GBK"/>
          <w:bCs/>
          <w:snapToGrid w:val="0"/>
          <w:spacing w:val="0"/>
          <w:kern w:val="0"/>
          <w:sz w:val="44"/>
          <w:szCs w:val="44"/>
          <w:lang w:val="en-US" w:eastAsia="zh-CN"/>
        </w:rPr>
      </w:pPr>
      <w:r>
        <w:rPr>
          <w:rFonts w:hint="eastAsia" w:ascii="方正小标宋_GBK" w:hAnsi="方正小标宋_GBK" w:eastAsia="方正小标宋_GBK" w:cs="方正小标宋_GBK"/>
          <w:bCs/>
          <w:snapToGrid w:val="0"/>
          <w:spacing w:val="0"/>
          <w:kern w:val="0"/>
          <w:sz w:val="44"/>
          <w:szCs w:val="44"/>
          <w:lang w:val="en-US" w:eastAsia="zh-CN"/>
        </w:rPr>
        <w:t>重庆市巴南区招商投资促进局</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9"/>
        <w:rPr>
          <w:rFonts w:hint="eastAsia" w:ascii="方正小标宋_GBK" w:hAnsi="方正小标宋_GBK" w:eastAsia="方正小标宋_GBK" w:cs="方正小标宋_GBK"/>
          <w:bCs/>
          <w:snapToGrid w:val="0"/>
          <w:spacing w:val="0"/>
          <w:kern w:val="0"/>
          <w:sz w:val="44"/>
          <w:szCs w:val="44"/>
          <w:lang w:val="en-US" w:eastAsia="zh-CN"/>
        </w:rPr>
      </w:pPr>
      <w:r>
        <w:rPr>
          <w:rFonts w:hint="eastAsia" w:ascii="方正小标宋_GBK" w:hAnsi="方正小标宋_GBK" w:eastAsia="方正小标宋_GBK" w:cs="方正小标宋_GBK"/>
          <w:bCs/>
          <w:snapToGrid w:val="0"/>
          <w:spacing w:val="0"/>
          <w:kern w:val="0"/>
          <w:sz w:val="44"/>
          <w:szCs w:val="44"/>
          <w:lang w:val="en-US" w:eastAsia="zh-CN"/>
        </w:rPr>
        <w:t>关于2021年法治政府建设情况的报告</w:t>
      </w:r>
    </w:p>
    <w:p>
      <w:pPr>
        <w:pStyle w:val="6"/>
        <w:keepNext w:val="0"/>
        <w:keepLines w:val="0"/>
        <w:pageBreakBefore w:val="0"/>
        <w:widowControl w:val="0"/>
        <w:kinsoku/>
        <w:wordWrap/>
        <w:overflowPunct/>
        <w:topLinePunct w:val="0"/>
        <w:autoSpaceDE w:val="0"/>
        <w:autoSpaceDN w:val="0"/>
        <w:bidi w:val="0"/>
        <w:adjustRightInd w:val="0"/>
        <w:snapToGrid/>
        <w:spacing w:line="540" w:lineRule="exact"/>
        <w:textAlignment w:val="auto"/>
        <w:outlineLvl w:val="9"/>
        <w:rPr>
          <w:rFonts w:hint="eastAsia" w:ascii="方正小标宋_GBK" w:hAnsi="方正小标宋_GBK" w:eastAsia="方正小标宋_GBK" w:cs="方正小标宋_GBK"/>
          <w:bCs/>
          <w:snapToGrid w:val="0"/>
          <w:spacing w:val="0"/>
          <w:kern w:val="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K" w:hAnsi="方正仿宋_GBK" w:eastAsia="方正仿宋_GBK" w:cs="方正仿宋_GBK"/>
          <w:bCs/>
          <w:snapToGrid w:val="0"/>
          <w:spacing w:val="0"/>
          <w:kern w:val="0"/>
          <w:sz w:val="32"/>
          <w:szCs w:val="32"/>
          <w:lang w:val="en-US" w:eastAsia="zh-CN"/>
        </w:rPr>
      </w:pPr>
      <w:r>
        <w:rPr>
          <w:rFonts w:hint="eastAsia" w:ascii="方正仿宋_GBK" w:hAnsi="方正仿宋_GBK" w:eastAsia="方正仿宋_GBK" w:cs="方正仿宋_GBK"/>
          <w:bCs/>
          <w:snapToGrid w:val="0"/>
          <w:spacing w:val="0"/>
          <w:kern w:val="0"/>
          <w:sz w:val="32"/>
          <w:szCs w:val="32"/>
          <w:lang w:val="en-US" w:eastAsia="zh-CN"/>
        </w:rPr>
        <w:t>今年以来，在区委、区政府的坚强领导下，我局紧紧围绕《2021年全区法治政府建设工作要点》（巴南府办发〔2021〕32号），坚持以习近平新时代中国特色社会主义思想为指导，深入开展以宪法为核心的中国特色社会主义法律体系宣传，干部群众法治意识明显增强，全面提升法治政府建设水平。立足于依法招商工作目标，严格按各项招商评审程序，依法履行招商引资相关规章制度前提下，进一步落实各项产业扶持政策，强化对招商项目、投资企业协调服务，为促进招商引资快速发展构建了和谐稳定的环境，现将有关工作情况总结如下：</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80" w:firstLineChars="0"/>
        <w:jc w:val="both"/>
        <w:textAlignment w:val="auto"/>
        <w:outlineLvl w:val="9"/>
        <w:rPr>
          <w:rFonts w:hint="eastAsia" w:ascii="方正仿宋_GBK" w:hAnsi="方正仿宋_GBK" w:eastAsia="方正仿宋_GBK" w:cs="方正仿宋_GBK"/>
          <w:bCs/>
          <w:snapToGrid w:val="0"/>
          <w:spacing w:val="0"/>
          <w:kern w:val="0"/>
          <w:sz w:val="32"/>
          <w:szCs w:val="32"/>
          <w:lang w:val="en-US" w:eastAsia="zh-CN"/>
        </w:rPr>
      </w:pPr>
      <w:r>
        <w:rPr>
          <w:rFonts w:hint="eastAsia" w:ascii="方正黑体_GBK" w:hAnsi="方正黑体_GBK" w:eastAsia="方正黑体_GBK" w:cs="方正黑体_GBK"/>
          <w:bCs/>
          <w:snapToGrid w:val="0"/>
          <w:spacing w:val="0"/>
          <w:kern w:val="0"/>
          <w:sz w:val="32"/>
          <w:szCs w:val="32"/>
          <w:lang w:val="en-US" w:eastAsia="zh-CN"/>
        </w:rPr>
        <w:t>一、2021年推进法治政府建设的主要举措和成效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K" w:hAnsi="方正仿宋_GBK" w:eastAsia="方正仿宋_GBK" w:cs="方正仿宋_GBK"/>
          <w:bCs/>
          <w:snapToGrid w:val="0"/>
          <w:spacing w:val="0"/>
          <w:kern w:val="0"/>
          <w:sz w:val="32"/>
          <w:szCs w:val="32"/>
          <w:lang w:val="en-US" w:eastAsia="zh-CN"/>
        </w:rPr>
      </w:pPr>
      <w:r>
        <w:rPr>
          <w:rFonts w:hint="eastAsia" w:ascii="方正仿宋_GBK" w:hAnsi="方正仿宋_GBK" w:eastAsia="方正仿宋_GBK" w:cs="方正仿宋_GBK"/>
          <w:bCs/>
          <w:snapToGrid w:val="0"/>
          <w:spacing w:val="0"/>
          <w:kern w:val="0"/>
          <w:sz w:val="32"/>
          <w:szCs w:val="32"/>
          <w:lang w:val="en-US" w:eastAsia="zh-CN"/>
        </w:rPr>
        <w:t>（一）加重法治宣传，营造良好氛围。一是深入学习宣传民法典。阐释好民法典中国特色社会主义的特质，阐释好民法典关于民事活动平等、自愿、公平、诚信等基本原则，阐释好民法典关于坚持主体平等、保护财产权利、便利交易流转、维护人格尊严、促进家庭和谐、追究侵权责任等基本要求，阐释好民法典一系列新规定新概念新精神，营造全体干部职工学法、用法的浓厚氛围；二是广泛开展法治宣传活动。今年我局组织干部职工赴石滩镇开展“德法四员”主题活动，以文明实践、文明素养宣讲的方式，主动帮基层村居排忧解难，并赴南泉街道杨市村开展创建全国文明城区“全民参与日”志愿服务活动；三是加强宣传招商投促法治政策。从自身招商投促工作出发，及时向各园区平台公司和企业开展宣传教育，讲解招商相关的扶持政策；四是运用新媒体宣传法治。利用我局“巴南招商”微信公众号，发布全国文明城区创建、建党100周年等专项法治宣传5次，在每年宪法宣传周发布“12·4”国家宪法日相关宣传信息，积极营造浓厚法治氛围；收集“风正巴渝”“风正巴南”微信公众号的警示案例，利用职工会、中心组学习、主题党日等开展“以案四说”警示教育20余次，普及法律知识，着力营造机关风清气正的政治生态和法治氛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K" w:hAnsi="方正仿宋_GBK" w:eastAsia="方正仿宋_GBK" w:cs="方正仿宋_GBK"/>
          <w:bCs/>
          <w:snapToGrid w:val="0"/>
          <w:spacing w:val="0"/>
          <w:kern w:val="0"/>
          <w:sz w:val="32"/>
          <w:szCs w:val="32"/>
          <w:lang w:val="en-US" w:eastAsia="zh-CN"/>
        </w:rPr>
      </w:pPr>
      <w:r>
        <w:rPr>
          <w:rFonts w:hint="eastAsia" w:ascii="方正仿宋_GBK" w:hAnsi="方正仿宋_GBK" w:eastAsia="方正仿宋_GBK" w:cs="方正仿宋_GBK"/>
          <w:bCs/>
          <w:snapToGrid w:val="0"/>
          <w:spacing w:val="0"/>
          <w:kern w:val="0"/>
          <w:sz w:val="32"/>
          <w:szCs w:val="32"/>
          <w:lang w:val="en-US" w:eastAsia="zh-CN"/>
        </w:rPr>
        <w:t>（二）加深法治意识，强化工作实效。一是充分发挥法律顾问作用，在拟写招商合同、审核招商协议事先征求法律顾问意见，并就工作中可能存在的法律风险和问题进行了及时的咨询和防范；二是围绕优化营商环境，加快诚信政府建设，建立《招商项目代办员全程服务制度》《重庆市巴南区产业链链长制工作方案》，以此作为为企业发展服务、为项目建设助力的重要手段，作为打造市场化、法治化、国际化营商环境的有力抓手；三是持续开展“招商优惠政策”兑现、清理，营造了稳定公平透明、可预期的营商环境。建立完善了重大项目专家咨询、尽职调查及法务审查机制，实现了招商决策主体的专业化、决策程序的合理化、决策内容的规范化。进一步完善招商引资优惠政策评估机制，做好优惠政策资金平衡；四是围绕公共法治平台与区域热点法律问题等主题，积极组织干部职工撰写法治论坛征文；五是圆满完成了2021年法治理论考试和领导干部旁听庭审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K" w:hAnsi="方正仿宋_GBK" w:eastAsia="方正仿宋_GBK" w:cs="方正仿宋_GBK"/>
          <w:bCs/>
          <w:snapToGrid w:val="0"/>
          <w:spacing w:val="0"/>
          <w:kern w:val="0"/>
          <w:sz w:val="32"/>
          <w:szCs w:val="32"/>
          <w:lang w:val="en-US" w:eastAsia="zh-CN"/>
        </w:rPr>
      </w:pPr>
      <w:r>
        <w:rPr>
          <w:rFonts w:hint="eastAsia" w:ascii="方正仿宋_GBK" w:hAnsi="方正仿宋_GBK" w:eastAsia="方正仿宋_GBK" w:cs="方正仿宋_GBK"/>
          <w:bCs/>
          <w:snapToGrid w:val="0"/>
          <w:spacing w:val="0"/>
          <w:kern w:val="0"/>
          <w:sz w:val="32"/>
          <w:szCs w:val="32"/>
          <w:lang w:val="en-US" w:eastAsia="zh-CN"/>
        </w:rPr>
        <w:t>（三）统筹招商优惠政策。统筹招商项目优惠政策评审，建立重大项目专家咨询、尽职调查及法务审查机制，实现了招商决策主体的专业化、决策程序的合理化、决策内容的规范化，有效解决了招商引资中各自为阵、优惠政策不统一、不规范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K" w:hAnsi="方正仿宋_GBK" w:eastAsia="方正仿宋_GBK" w:cs="方正仿宋_GBK"/>
          <w:bCs/>
          <w:snapToGrid w:val="0"/>
          <w:spacing w:val="0"/>
          <w:kern w:val="0"/>
          <w:sz w:val="32"/>
          <w:szCs w:val="32"/>
          <w:lang w:val="en-US" w:eastAsia="zh-CN"/>
        </w:rPr>
      </w:pPr>
      <w:r>
        <w:rPr>
          <w:rFonts w:hint="eastAsia" w:ascii="方正仿宋_GBK" w:hAnsi="方正仿宋_GBK" w:eastAsia="方正仿宋_GBK" w:cs="方正仿宋_GBK"/>
          <w:bCs/>
          <w:snapToGrid w:val="0"/>
          <w:spacing w:val="0"/>
          <w:kern w:val="0"/>
          <w:sz w:val="32"/>
          <w:szCs w:val="32"/>
          <w:lang w:val="en-US" w:eastAsia="zh-CN"/>
        </w:rPr>
        <w:t>（四）严把优惠政策兑现关口。一方面，杜绝“新官不理旧账”，严守契约精神，严格审查并及时兑现企业优惠政策资金，保障了在区投资企业合法权益。另一方面，严防优惠政策兑现后企业不履约，建立招商优惠政策“审批—兑现”机制，按照投资合同及企业履约情况平等兑现优惠政策，以严格的举措形成鲜明导向，督促政府、企业诚实守信、严格履约，营造了公平、诚信的市场环境。</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80" w:firstLineChars="0"/>
        <w:jc w:val="both"/>
        <w:textAlignment w:val="auto"/>
        <w:outlineLvl w:val="9"/>
        <w:rPr>
          <w:rFonts w:hint="eastAsia" w:ascii="方正仿宋_GBK" w:hAnsi="方正仿宋_GBK" w:eastAsia="方正仿宋_GBK" w:cs="方正仿宋_GBK"/>
          <w:bCs/>
          <w:snapToGrid w:val="0"/>
          <w:spacing w:val="0"/>
          <w:kern w:val="0"/>
          <w:sz w:val="32"/>
          <w:szCs w:val="32"/>
          <w:lang w:val="en-US" w:eastAsia="zh-CN"/>
        </w:rPr>
      </w:pPr>
      <w:r>
        <w:rPr>
          <w:rFonts w:hint="eastAsia" w:ascii="方正黑体_GBK" w:hAnsi="方正黑体_GBK" w:eastAsia="方正黑体_GBK" w:cs="方正黑体_GBK"/>
          <w:bCs/>
          <w:snapToGrid w:val="0"/>
          <w:spacing w:val="0"/>
          <w:kern w:val="0"/>
          <w:sz w:val="32"/>
          <w:szCs w:val="32"/>
          <w:lang w:val="en-US" w:eastAsia="zh-CN"/>
        </w:rPr>
        <w:t>二、加强组织领导，落实主体责任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K" w:hAnsi="方正仿宋_GBK" w:eastAsia="方正仿宋_GBK" w:cs="方正仿宋_GBK"/>
          <w:bCs/>
          <w:snapToGrid w:val="0"/>
          <w:spacing w:val="0"/>
          <w:kern w:val="0"/>
          <w:sz w:val="32"/>
          <w:szCs w:val="32"/>
          <w:lang w:val="en-US" w:eastAsia="zh-CN"/>
        </w:rPr>
      </w:pPr>
      <w:r>
        <w:rPr>
          <w:rFonts w:hint="eastAsia" w:ascii="方正仿宋_GBK" w:hAnsi="方正仿宋_GBK" w:eastAsia="方正仿宋_GBK" w:cs="方正仿宋_GBK"/>
          <w:bCs/>
          <w:snapToGrid w:val="0"/>
          <w:spacing w:val="0"/>
          <w:kern w:val="0"/>
          <w:sz w:val="32"/>
          <w:szCs w:val="32"/>
          <w:lang w:val="en-US" w:eastAsia="zh-CN"/>
        </w:rPr>
        <w:t>（一）及时调整工作机构。局党组高度重视法治政府建设工作，及时调整依法治区工作领导小组，以党组书记、局长李萍为组长，班子成员为副组长，各科室负责人为成员，重新划分工作责任，强化工作措施，保持以主要领导亲自抓，全局干部职工共参与的格局。领导小组下设办公室，负责贯彻落实我局法治建设年度重点工作，带动法治建设各项工作全面深入开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K" w:hAnsi="方正仿宋_GBK" w:eastAsia="方正仿宋_GBK" w:cs="方正仿宋_GBK"/>
          <w:bCs/>
          <w:snapToGrid w:val="0"/>
          <w:spacing w:val="0"/>
          <w:kern w:val="0"/>
          <w:sz w:val="32"/>
          <w:szCs w:val="32"/>
          <w:lang w:val="en-US" w:eastAsia="zh-CN"/>
        </w:rPr>
      </w:pPr>
      <w:r>
        <w:rPr>
          <w:rFonts w:hint="eastAsia" w:ascii="方正仿宋_GBK" w:hAnsi="方正仿宋_GBK" w:eastAsia="方正仿宋_GBK" w:cs="方正仿宋_GBK"/>
          <w:bCs/>
          <w:snapToGrid w:val="0"/>
          <w:spacing w:val="0"/>
          <w:kern w:val="0"/>
          <w:sz w:val="32"/>
          <w:szCs w:val="32"/>
          <w:lang w:val="en-US" w:eastAsia="zh-CN"/>
        </w:rPr>
        <w:t>（二）不断强化法治思维。领导班子带头尊崇和执行宪法，大力弘扬宪法精神，以实际行动坚决维护宪法权威、捍卫宪法尊严、保证宪法实施，时刻做到在法治思维下想问题、作决策。局党组把习近平法治思想作为中心组理论学习的重点学习内容，深入学习贯彻习近平法治思想，多种形式推动《习近平法治思想和中央全面依法治国工作会议精神》《市委全面依法治市工作会议精神》落地落实，切实增强全局干部职工法律意识和法治观念，提高依法行政水平。截至</w:t>
      </w:r>
      <w:bookmarkStart w:id="0" w:name="_GoBack"/>
      <w:bookmarkEnd w:id="0"/>
      <w:r>
        <w:rPr>
          <w:rFonts w:hint="eastAsia" w:ascii="方正仿宋_GBK" w:hAnsi="方正仿宋_GBK" w:eastAsia="方正仿宋_GBK" w:cs="方正仿宋_GBK"/>
          <w:bCs/>
          <w:snapToGrid w:val="0"/>
          <w:spacing w:val="0"/>
          <w:kern w:val="0"/>
          <w:sz w:val="32"/>
          <w:szCs w:val="32"/>
          <w:lang w:val="en-US" w:eastAsia="zh-CN"/>
        </w:rPr>
        <w:t>2021年12月，组织中心组学习15次，开展主题党日活动14次，并结合建党100周年大力开展党内法规专项宣传，深化拓展“以案四说”“以案四改”，正确把握国家法律宣传与党内法规宣传的衔接和协调。</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80" w:firstLineChars="0"/>
        <w:jc w:val="both"/>
        <w:textAlignment w:val="auto"/>
        <w:outlineLvl w:val="9"/>
        <w:rPr>
          <w:rFonts w:hint="eastAsia" w:ascii="方正仿宋_GBK" w:hAnsi="方正仿宋_GBK" w:eastAsia="方正仿宋_GBK" w:cs="方正仿宋_GBK"/>
          <w:bCs/>
          <w:snapToGrid w:val="0"/>
          <w:spacing w:val="0"/>
          <w:kern w:val="0"/>
          <w:sz w:val="32"/>
          <w:szCs w:val="32"/>
          <w:lang w:val="en-US" w:eastAsia="zh-CN"/>
        </w:rPr>
      </w:pPr>
      <w:r>
        <w:rPr>
          <w:rFonts w:hint="eastAsia" w:ascii="方正黑体_GBK" w:hAnsi="方正黑体_GBK" w:eastAsia="方正黑体_GBK" w:cs="方正黑体_GBK"/>
          <w:bCs/>
          <w:snapToGrid w:val="0"/>
          <w:spacing w:val="0"/>
          <w:kern w:val="0"/>
          <w:sz w:val="32"/>
          <w:szCs w:val="32"/>
          <w:lang w:val="en-US" w:eastAsia="zh-CN"/>
        </w:rPr>
        <w:t>三、存在的主要问题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K" w:hAnsi="方正仿宋_GBK" w:eastAsia="方正仿宋_GBK" w:cs="方正仿宋_GBK"/>
          <w:bCs/>
          <w:snapToGrid w:val="0"/>
          <w:spacing w:val="0"/>
          <w:kern w:val="0"/>
          <w:sz w:val="32"/>
          <w:szCs w:val="32"/>
          <w:lang w:val="en-US" w:eastAsia="zh-CN"/>
        </w:rPr>
      </w:pPr>
      <w:r>
        <w:rPr>
          <w:rFonts w:hint="eastAsia" w:ascii="方正仿宋_GBK" w:hAnsi="方正仿宋_GBK" w:eastAsia="方正仿宋_GBK" w:cs="方正仿宋_GBK"/>
          <w:bCs/>
          <w:snapToGrid w:val="0"/>
          <w:spacing w:val="0"/>
          <w:kern w:val="0"/>
          <w:sz w:val="32"/>
          <w:szCs w:val="32"/>
          <w:lang w:val="en-US" w:eastAsia="zh-CN"/>
        </w:rPr>
        <w:t>我局在全面建设法治政府中虽扎实有效地开展了大量富有成效的工作，取得了显著的成绩，但同时也能清醒地看到还存在一些问题和不足：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K" w:hAnsi="方正仿宋_GBK" w:eastAsia="方正仿宋_GBK" w:cs="方正仿宋_GBK"/>
          <w:bCs/>
          <w:snapToGrid w:val="0"/>
          <w:spacing w:val="0"/>
          <w:kern w:val="0"/>
          <w:sz w:val="32"/>
          <w:szCs w:val="32"/>
          <w:lang w:val="en-US" w:eastAsia="zh-CN"/>
        </w:rPr>
      </w:pPr>
      <w:r>
        <w:rPr>
          <w:rFonts w:hint="eastAsia" w:ascii="方正仿宋_GBK" w:hAnsi="方正仿宋_GBK" w:eastAsia="方正仿宋_GBK" w:cs="方正仿宋_GBK"/>
          <w:bCs/>
          <w:snapToGrid w:val="0"/>
          <w:spacing w:val="0"/>
          <w:kern w:val="0"/>
          <w:sz w:val="32"/>
          <w:szCs w:val="32"/>
          <w:lang w:val="en-US" w:eastAsia="zh-CN"/>
        </w:rPr>
        <w:t>一是学法普法平台运用不够深入，表现在利用网站、网络平台学法及“云考星”公众号进行学法、宣法、组织法治教育的活动力度不够大；二是法治素质建设不够牢固，表现在一些干部在业务工作中尊法用法的能力素质不够；三是依法推进招商促建工作力度不够，表现在对已签约项目的促建、督建等工作推进力度不够。</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80" w:firstLineChars="0"/>
        <w:jc w:val="both"/>
        <w:textAlignment w:val="auto"/>
        <w:outlineLvl w:val="9"/>
        <w:rPr>
          <w:rFonts w:hint="eastAsia" w:ascii="方正仿宋_GBK" w:hAnsi="方正仿宋_GBK" w:eastAsia="方正仿宋_GBK" w:cs="方正仿宋_GBK"/>
          <w:bCs/>
          <w:snapToGrid w:val="0"/>
          <w:spacing w:val="0"/>
          <w:kern w:val="0"/>
          <w:sz w:val="32"/>
          <w:szCs w:val="32"/>
          <w:lang w:val="en-US" w:eastAsia="zh-CN"/>
        </w:rPr>
      </w:pPr>
      <w:r>
        <w:rPr>
          <w:rFonts w:hint="eastAsia" w:ascii="方正黑体_GBK" w:hAnsi="方正黑体_GBK" w:eastAsia="方正黑体_GBK" w:cs="方正黑体_GBK"/>
          <w:bCs/>
          <w:snapToGrid w:val="0"/>
          <w:spacing w:val="0"/>
          <w:kern w:val="0"/>
          <w:sz w:val="32"/>
          <w:szCs w:val="32"/>
          <w:lang w:val="en-US" w:eastAsia="zh-CN"/>
        </w:rPr>
        <w:t>四、2022年推进法治政府建设的工作思路目标举措</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K" w:hAnsi="方正仿宋_GBK" w:eastAsia="方正仿宋_GBK" w:cs="方正仿宋_GBK"/>
          <w:bCs/>
          <w:snapToGrid w:val="0"/>
          <w:spacing w:val="0"/>
          <w:kern w:val="0"/>
          <w:sz w:val="32"/>
          <w:szCs w:val="32"/>
          <w:lang w:val="en-US" w:eastAsia="zh-CN"/>
        </w:rPr>
      </w:pPr>
      <w:r>
        <w:rPr>
          <w:rFonts w:hint="eastAsia" w:ascii="方正仿宋_GBK" w:hAnsi="方正仿宋_GBK" w:eastAsia="方正仿宋_GBK" w:cs="方正仿宋_GBK"/>
          <w:bCs/>
          <w:snapToGrid w:val="0"/>
          <w:spacing w:val="0"/>
          <w:kern w:val="0"/>
          <w:sz w:val="32"/>
          <w:szCs w:val="32"/>
          <w:lang w:val="en-US" w:eastAsia="zh-CN"/>
        </w:rPr>
        <w:t>今后，我局将进一步严格按照区委、区政府的要求，结合招商工作实际，为推动我区法治政府建设工作再上新台阶，营造良好的法治环境，作出更大贡献。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方正仿宋_GBK" w:hAnsi="方正仿宋_GBK" w:eastAsia="方正仿宋_GBK" w:cs="方正仿宋_GBK"/>
          <w:bCs/>
          <w:snapToGrid w:val="0"/>
          <w:spacing w:val="0"/>
          <w:kern w:val="0"/>
          <w:sz w:val="32"/>
          <w:szCs w:val="32"/>
          <w:lang w:val="en-US" w:eastAsia="zh-CN"/>
        </w:rPr>
      </w:pPr>
      <w:r>
        <w:rPr>
          <w:rFonts w:hint="eastAsia" w:ascii="方正仿宋_GBK" w:hAnsi="方正仿宋_GBK" w:eastAsia="方正仿宋_GBK" w:cs="方正仿宋_GBK"/>
          <w:bCs/>
          <w:snapToGrid w:val="0"/>
          <w:spacing w:val="0"/>
          <w:kern w:val="0"/>
          <w:sz w:val="32"/>
          <w:szCs w:val="32"/>
          <w:lang w:val="en-US" w:eastAsia="zh-CN"/>
        </w:rPr>
        <w:t>一是认真组织全局干部职工参加网站、网络平台学法及“云考星”公众号的学习运用，积极参加“七五”普法知识考试或竞赛，完成“巴南普法”法治理论知识考试，保证考试通过率100％，通过学习，不断提升招商队伍整体素质，为全面深入开展招商引资工作提供坚实保障；二是着力探索法治工作新思路，立足当前形势，对标优秀典型，以创新为动力，认真查摆、整改自身不足，不断强化党员领导干部法律意识，提高党员干部的法治素质和知法守法自觉性，做到懂法、守法，树立宪法和法律依法行政观念；三是优化重构全区招商投促工作考核办法，将“招商促建”一体化推进，建立“签约落地、开工建设、服务协调”的一体化机制，保障行政决策的科学化、民主化，依法推进招商、投资、促建工作；四是切实做好对热点敏感问题的舆论引导，利用区政府门户网站、“巴南招商”微信公众号等平台上主动公开、转发招商动态、招商服务和招商成效等政务信息，及时回应社会关切，营造良好舆论氛围。</w:t>
      </w: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方正仿宋_GBK" w:hAnsi="方正仿宋_GBK" w:eastAsia="方正仿宋_GBK" w:cs="方正仿宋_GBK"/>
          <w:bCs/>
          <w:snapToGrid w:val="0"/>
          <w:spacing w:val="0"/>
          <w:kern w:val="0"/>
          <w:sz w:val="32"/>
          <w:szCs w:val="32"/>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315" w:lineRule="atLeast"/>
        <w:ind w:left="0" w:right="0" w:firstLine="0"/>
        <w:jc w:val="right"/>
        <w:rPr>
          <w:rFonts w:hint="eastAsia" w:ascii="方正仿宋_GBK" w:hAnsi="方正仿宋_GBK" w:eastAsia="方正仿宋_GBK" w:cs="方正仿宋_GBK"/>
          <w:bCs/>
          <w:snapToGrid w:val="0"/>
          <w:spacing w:val="0"/>
          <w:kern w:val="0"/>
          <w:sz w:val="32"/>
          <w:szCs w:val="32"/>
          <w:lang w:val="en-US" w:eastAsia="zh-CN" w:bidi="ar-SA"/>
        </w:rPr>
      </w:pPr>
      <w:r>
        <w:rPr>
          <w:rFonts w:hint="eastAsia" w:ascii="方正仿宋_GBK" w:hAnsi="方正仿宋_GBK" w:eastAsia="方正仿宋_GBK" w:cs="方正仿宋_GBK"/>
          <w:bCs/>
          <w:snapToGrid w:val="0"/>
          <w:spacing w:val="0"/>
          <w:kern w:val="0"/>
          <w:sz w:val="32"/>
          <w:szCs w:val="32"/>
          <w:lang w:val="en-US" w:eastAsia="zh-CN" w:bidi="ar-SA"/>
        </w:rPr>
        <w:t>重庆市巴南区招商投资促进局  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315" w:lineRule="atLeast"/>
        <w:ind w:left="0" w:right="0" w:firstLine="0"/>
        <w:jc w:val="right"/>
        <w:rPr>
          <w:rFonts w:hint="eastAsia" w:ascii="方正仿宋_GBK" w:hAnsi="方正仿宋_GBK" w:eastAsia="方正仿宋_GBK" w:cs="方正仿宋_GBK"/>
          <w:bCs/>
          <w:snapToGrid w:val="0"/>
          <w:spacing w:val="0"/>
          <w:kern w:val="0"/>
          <w:sz w:val="32"/>
          <w:szCs w:val="32"/>
          <w:lang w:val="en-US" w:eastAsia="zh-CN" w:bidi="ar-SA"/>
        </w:rPr>
      </w:pPr>
      <w:r>
        <w:rPr>
          <w:rFonts w:hint="eastAsia" w:ascii="方正仿宋_GBK" w:hAnsi="方正仿宋_GBK" w:eastAsia="方正仿宋_GBK" w:cs="方正仿宋_GBK"/>
          <w:bCs/>
          <w:snapToGrid w:val="0"/>
          <w:spacing w:val="0"/>
          <w:kern w:val="0"/>
          <w:sz w:val="32"/>
          <w:szCs w:val="32"/>
          <w:lang w:val="en-US" w:eastAsia="zh-CN" w:bidi="ar-SA"/>
        </w:rPr>
        <w:t>2022年3月11日       </w:t>
      </w:r>
    </w:p>
    <w:p>
      <w:pPr>
        <w:pStyle w:val="2"/>
        <w:rPr>
          <w:rFonts w:hint="eastAsia"/>
          <w:lang w:val="en-US" w:eastAsia="zh-CN"/>
        </w:rPr>
      </w:pPr>
    </w:p>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3MWZkZjg0YTc0ZDgyMzU5MWYyZGU0MThkNzZiYjIifQ=="/>
  </w:docVars>
  <w:rsids>
    <w:rsidRoot w:val="00000000"/>
    <w:rsid w:val="0B0E09B5"/>
    <w:rsid w:val="2E163EBF"/>
    <w:rsid w:val="30242E1C"/>
    <w:rsid w:val="3E473F20"/>
    <w:rsid w:val="435B48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unhideWhenUsed/>
    <w:qFormat/>
    <w:uiPriority w:val="0"/>
    <w:pPr>
      <w:spacing w:after="120"/>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6">
    <w:name w:val="Default"/>
    <w:next w:val="1"/>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2304</Words>
  <Characters>2329</Characters>
  <Lines>0</Lines>
  <Paragraphs>0</Paragraphs>
  <TotalTime>6</TotalTime>
  <ScaleCrop>false</ScaleCrop>
  <LinksUpToDate>false</LinksUpToDate>
  <CharactersWithSpaces>2335</CharactersWithSpaces>
  <Application>WPS Office_10.8.0.6470_F1E327BC-269C-435d-A152-05C5408002CA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招商投资促进办公室</cp:lastModifiedBy>
  <dcterms:modified xsi:type="dcterms:W3CDTF">2026-07-08T09:07:24Z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2052-10.8.0.6470</vt:lpwstr>
  </property>
  <property fmtid="{D5CDD505-2E9C-101B-9397-08002B2CF9AE}" pid="3" name="ICV">
    <vt:lpwstr>6937FA5CCE7C49FCB8A841B6E299682B</vt:lpwstr>
  </property>
</Properties>
</file>