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85E6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b w:val="0"/>
          <w:bCs w:val="0"/>
          <w:i w:val="0"/>
          <w:iCs w:val="0"/>
          <w:caps w:val="0"/>
          <w:color w:val="auto"/>
          <w:spacing w:val="0"/>
          <w:sz w:val="44"/>
          <w:szCs w:val="44"/>
          <w:shd w:val="clear" w:fill="FFFFFF"/>
        </w:rPr>
      </w:pPr>
      <w:r>
        <w:rPr>
          <w:rFonts w:hint="eastAsia" w:ascii="方正小标宋_GBK" w:hAnsi="方正小标宋_GBK" w:eastAsia="方正小标宋_GBK" w:cs="方正小标宋_GBK"/>
          <w:b w:val="0"/>
          <w:bCs w:val="0"/>
          <w:i w:val="0"/>
          <w:iCs w:val="0"/>
          <w:caps w:val="0"/>
          <w:color w:val="auto"/>
          <w:spacing w:val="0"/>
          <w:sz w:val="44"/>
          <w:szCs w:val="44"/>
          <w:shd w:val="clear" w:fill="FFFFFF"/>
        </w:rPr>
        <w:t>重庆市巴南区招商投资促进局</w:t>
      </w:r>
    </w:p>
    <w:p w14:paraId="5D60D68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rPr>
      </w:pPr>
      <w:r>
        <w:rPr>
          <w:rFonts w:hint="eastAsia" w:ascii="方正小标宋_GBK" w:hAnsi="方正小标宋_GBK" w:eastAsia="方正小标宋_GBK" w:cs="方正小标宋_GBK"/>
          <w:b w:val="0"/>
          <w:bCs w:val="0"/>
          <w:i w:val="0"/>
          <w:iCs w:val="0"/>
          <w:caps w:val="0"/>
          <w:color w:val="auto"/>
          <w:spacing w:val="0"/>
          <w:sz w:val="44"/>
          <w:szCs w:val="44"/>
          <w:shd w:val="clear" w:fill="FFFFFF"/>
        </w:rPr>
        <w:t>关于202</w:t>
      </w:r>
      <w:r>
        <w:rPr>
          <w:rFonts w:hint="eastAsia" w:ascii="方正小标宋_GBK" w:hAnsi="方正小标宋_GBK" w:eastAsia="方正小标宋_GBK" w:cs="方正小标宋_GBK"/>
          <w:b w:val="0"/>
          <w:bCs w:val="0"/>
          <w:i w:val="0"/>
          <w:iCs w:val="0"/>
          <w:caps w:val="0"/>
          <w:color w:val="auto"/>
          <w:spacing w:val="0"/>
          <w:sz w:val="44"/>
          <w:szCs w:val="44"/>
          <w:shd w:val="clear" w:fill="FFFFFF"/>
          <w:lang w:val="en-US" w:eastAsia="zh-CN"/>
        </w:rPr>
        <w:t>5</w:t>
      </w:r>
      <w:r>
        <w:rPr>
          <w:rFonts w:hint="eastAsia" w:ascii="方正小标宋_GBK" w:hAnsi="方正小标宋_GBK" w:eastAsia="方正小标宋_GBK" w:cs="方正小标宋_GBK"/>
          <w:b w:val="0"/>
          <w:bCs w:val="0"/>
          <w:i w:val="0"/>
          <w:iCs w:val="0"/>
          <w:caps w:val="0"/>
          <w:color w:val="auto"/>
          <w:spacing w:val="0"/>
          <w:sz w:val="44"/>
          <w:szCs w:val="44"/>
          <w:shd w:val="clear" w:fill="FFFFFF"/>
        </w:rPr>
        <w:t>年法治政府建设情况的报告</w:t>
      </w:r>
    </w:p>
    <w:p w14:paraId="27910949">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Times New Roman" w:hAnsi="Times New Roman" w:eastAsia="方正仿宋_GBK" w:cs="方正仿宋_GBK"/>
          <w:i w:val="0"/>
          <w:iCs w:val="0"/>
          <w:caps w:val="0"/>
          <w:color w:val="auto"/>
          <w:spacing w:val="0"/>
          <w:kern w:val="2"/>
          <w:sz w:val="32"/>
          <w:szCs w:val="32"/>
          <w:shd w:val="clear" w:fill="FFFFFF"/>
          <w:lang w:val="en-US" w:eastAsia="zh-CN" w:bidi="ar-SA"/>
        </w:rPr>
      </w:pPr>
    </w:p>
    <w:p w14:paraId="2A53676E">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Times New Roman" w:hAnsi="Times New Roman" w:eastAsia="方正仿宋_GBK" w:cs="方正仿宋_GBK"/>
          <w:i w:val="0"/>
          <w:iCs w:val="0"/>
          <w:caps w:val="0"/>
          <w:color w:val="auto"/>
          <w:spacing w:val="0"/>
          <w:sz w:val="32"/>
          <w:szCs w:val="32"/>
          <w:shd w:val="clear" w:fill="FFFFFF"/>
          <w:lang w:eastAsia="zh-CN"/>
        </w:rPr>
      </w:pPr>
      <w:r>
        <w:rPr>
          <w:rFonts w:hint="eastAsia" w:ascii="Times New Roman" w:hAnsi="Times New Roman" w:eastAsia="方正仿宋_GBK" w:cs="方正仿宋_GBK"/>
          <w:i w:val="0"/>
          <w:iCs w:val="0"/>
          <w:caps w:val="0"/>
          <w:color w:val="auto"/>
          <w:spacing w:val="0"/>
          <w:kern w:val="2"/>
          <w:sz w:val="32"/>
          <w:szCs w:val="32"/>
          <w:shd w:val="clear" w:fill="FFFFFF"/>
          <w:lang w:val="en-US" w:eastAsia="zh-CN" w:bidi="ar-SA"/>
        </w:rPr>
        <w:t>2025年，在区委、区政府的坚强领导下，区招商投资局党组及局机关坚持以习近平新时代中国特色社会主义思想为指导，</w:t>
      </w:r>
      <w:r>
        <w:rPr>
          <w:rFonts w:hint="eastAsia" w:ascii="Times New Roman" w:hAnsi="Times New Roman" w:eastAsia="方正仿宋_GBK" w:cs="方正仿宋_GBK"/>
          <w:color w:val="auto"/>
          <w:sz w:val="32"/>
          <w:szCs w:val="32"/>
          <w:lang w:bidi="ar"/>
        </w:rPr>
        <w:t>全面贯彻党的二十大和二十届二中、三中</w:t>
      </w:r>
      <w:r>
        <w:rPr>
          <w:rFonts w:hint="eastAsia" w:ascii="Times New Roman" w:hAnsi="Times New Roman" w:eastAsia="方正仿宋_GBK" w:cs="方正仿宋_GBK"/>
          <w:color w:val="auto"/>
          <w:sz w:val="32"/>
          <w:szCs w:val="32"/>
          <w:lang w:eastAsia="zh-CN" w:bidi="ar"/>
        </w:rPr>
        <w:t>、</w:t>
      </w:r>
      <w:r>
        <w:rPr>
          <w:rFonts w:hint="eastAsia" w:ascii="Times New Roman" w:hAnsi="Times New Roman" w:eastAsia="方正仿宋_GBK" w:cs="方正仿宋_GBK"/>
          <w:color w:val="auto"/>
          <w:sz w:val="32"/>
          <w:szCs w:val="32"/>
          <w:lang w:val="en-US" w:eastAsia="zh-CN" w:bidi="ar"/>
        </w:rPr>
        <w:t>四中</w:t>
      </w:r>
      <w:r>
        <w:rPr>
          <w:rFonts w:hint="eastAsia" w:ascii="Times New Roman" w:hAnsi="Times New Roman" w:eastAsia="方正仿宋_GBK" w:cs="方正仿宋_GBK"/>
          <w:color w:val="auto"/>
          <w:sz w:val="32"/>
          <w:szCs w:val="32"/>
          <w:lang w:bidi="ar"/>
        </w:rPr>
        <w:t>全会精神，深入学习贯彻习近平法治思想和习近平总书记视察重庆重要讲话重要指示精神，</w:t>
      </w:r>
      <w:r>
        <w:rPr>
          <w:rFonts w:hint="eastAsia" w:ascii="Times New Roman" w:hAnsi="Times New Roman" w:eastAsia="方正仿宋_GBK" w:cs="方正仿宋_GBK"/>
          <w:color w:val="auto"/>
          <w:sz w:val="32"/>
          <w:szCs w:val="32"/>
          <w:lang w:val="en-US" w:eastAsia="zh-CN" w:bidi="ar"/>
        </w:rPr>
        <w:t>细化</w:t>
      </w:r>
      <w:r>
        <w:rPr>
          <w:rFonts w:hint="eastAsia" w:ascii="Times New Roman" w:hAnsi="Times New Roman" w:eastAsia="方正仿宋_GBK" w:cs="方正仿宋_GBK"/>
          <w:color w:val="auto"/>
          <w:sz w:val="32"/>
          <w:szCs w:val="32"/>
          <w:lang w:bidi="ar"/>
        </w:rPr>
        <w:t>落实</w:t>
      </w:r>
      <w:r>
        <w:rPr>
          <w:rFonts w:hint="eastAsia" w:ascii="Times New Roman" w:hAnsi="Times New Roman" w:eastAsia="方正仿宋_GBK" w:cs="方正仿宋_GBK"/>
          <w:color w:val="auto"/>
          <w:sz w:val="32"/>
          <w:szCs w:val="32"/>
          <w:lang w:val="en-US" w:eastAsia="zh-CN" w:bidi="ar"/>
        </w:rPr>
        <w:t>区委区政府安排部署</w:t>
      </w:r>
      <w:r>
        <w:rPr>
          <w:rFonts w:hint="eastAsia" w:ascii="Times New Roman" w:hAnsi="Times New Roman" w:eastAsia="方正仿宋_GBK" w:cs="方正仿宋_GBK"/>
          <w:color w:val="auto"/>
          <w:sz w:val="32"/>
          <w:szCs w:val="32"/>
          <w:lang w:bidi="ar"/>
        </w:rPr>
        <w:t>，</w:t>
      </w:r>
      <w:r>
        <w:rPr>
          <w:rFonts w:hint="eastAsia" w:ascii="Times New Roman" w:hAnsi="Times New Roman" w:eastAsia="方正仿宋_GBK" w:cs="方正仿宋_GBK"/>
          <w:i w:val="0"/>
          <w:iCs w:val="0"/>
          <w:caps w:val="0"/>
          <w:color w:val="auto"/>
          <w:spacing w:val="0"/>
          <w:kern w:val="2"/>
          <w:sz w:val="32"/>
          <w:szCs w:val="32"/>
          <w:shd w:val="clear" w:fill="FFFFFF"/>
          <w:lang w:val="en-US" w:eastAsia="zh-CN" w:bidi="ar-SA"/>
        </w:rPr>
        <w:t>按照《2025年全区法治政府建设工作要点》的各项要求，</w:t>
      </w:r>
      <w:r>
        <w:rPr>
          <w:rFonts w:hint="eastAsia" w:ascii="Times New Roman" w:hAnsi="Times New Roman" w:eastAsia="方正仿宋_GBK" w:cs="方正仿宋_GBK"/>
          <w:color w:val="auto"/>
          <w:sz w:val="32"/>
          <w:szCs w:val="32"/>
          <w:lang w:bidi="ar"/>
        </w:rPr>
        <w:t>全面提升治理能力和服务效能，</w:t>
      </w:r>
      <w:r>
        <w:rPr>
          <w:rFonts w:hint="eastAsia" w:ascii="Times New Roman" w:hAnsi="Times New Roman" w:eastAsia="方正仿宋_GBK" w:cs="方正仿宋_GBK"/>
          <w:color w:val="auto"/>
          <w:sz w:val="32"/>
          <w:szCs w:val="32"/>
          <w:lang w:val="en-US" w:eastAsia="zh-CN"/>
        </w:rPr>
        <w:t>为</w:t>
      </w:r>
      <w:r>
        <w:rPr>
          <w:rFonts w:hint="default" w:ascii="Times New Roman" w:hAnsi="Times New Roman" w:eastAsia="方正仿宋_GBK" w:cs="方正仿宋_GBK"/>
          <w:color w:val="auto"/>
          <w:sz w:val="32"/>
          <w:szCs w:val="32"/>
          <w:lang w:eastAsia="zh-CN"/>
        </w:rPr>
        <w:t>巴南</w:t>
      </w:r>
      <w:r>
        <w:rPr>
          <w:rFonts w:hint="eastAsia" w:ascii="Times New Roman" w:hAnsi="Times New Roman" w:eastAsia="方正仿宋_GBK" w:cs="方正仿宋_GBK"/>
          <w:color w:val="auto"/>
          <w:sz w:val="32"/>
          <w:szCs w:val="32"/>
          <w:lang w:val="en-US" w:eastAsia="zh-CN"/>
        </w:rPr>
        <w:t>营造良好营商环境提供有力的法治保障。</w:t>
      </w:r>
      <w:r>
        <w:rPr>
          <w:rFonts w:hint="eastAsia" w:ascii="Times New Roman" w:hAnsi="Times New Roman" w:eastAsia="方正仿宋_GBK" w:cs="方正仿宋_GBK"/>
          <w:i w:val="0"/>
          <w:iCs w:val="0"/>
          <w:caps w:val="0"/>
          <w:color w:val="auto"/>
          <w:spacing w:val="0"/>
          <w:sz w:val="32"/>
          <w:szCs w:val="32"/>
          <w:shd w:val="clear" w:fill="FFFFFF"/>
        </w:rPr>
        <w:t>现将</w:t>
      </w:r>
      <w:r>
        <w:rPr>
          <w:rFonts w:hint="eastAsia" w:ascii="Times New Roman" w:hAnsi="Times New Roman" w:eastAsia="方正仿宋_GBK" w:cs="方正仿宋_GBK"/>
          <w:i w:val="0"/>
          <w:iCs w:val="0"/>
          <w:caps w:val="0"/>
          <w:color w:val="auto"/>
          <w:spacing w:val="0"/>
          <w:sz w:val="32"/>
          <w:szCs w:val="32"/>
          <w:shd w:val="clear" w:fill="FFFFFF"/>
          <w:lang w:val="en-US" w:eastAsia="zh-CN"/>
        </w:rPr>
        <w:t>本年度</w:t>
      </w:r>
      <w:r>
        <w:rPr>
          <w:rFonts w:hint="eastAsia" w:ascii="Times New Roman" w:hAnsi="Times New Roman" w:eastAsia="方正仿宋_GBK" w:cs="方正仿宋_GBK"/>
          <w:i w:val="0"/>
          <w:iCs w:val="0"/>
          <w:caps w:val="0"/>
          <w:color w:val="auto"/>
          <w:spacing w:val="0"/>
          <w:sz w:val="32"/>
          <w:szCs w:val="32"/>
          <w:shd w:val="clear" w:fill="FFFFFF"/>
        </w:rPr>
        <w:t>工作</w:t>
      </w:r>
      <w:r>
        <w:rPr>
          <w:rFonts w:hint="eastAsia" w:ascii="Times New Roman" w:hAnsi="Times New Roman" w:eastAsia="方正仿宋_GBK" w:cs="方正仿宋_GBK"/>
          <w:i w:val="0"/>
          <w:iCs w:val="0"/>
          <w:caps w:val="0"/>
          <w:color w:val="auto"/>
          <w:spacing w:val="0"/>
          <w:sz w:val="32"/>
          <w:szCs w:val="32"/>
          <w:shd w:val="clear" w:fill="FFFFFF"/>
          <w:lang w:val="en-US" w:eastAsia="zh-CN"/>
        </w:rPr>
        <w:t>开展</w:t>
      </w:r>
      <w:r>
        <w:rPr>
          <w:rFonts w:hint="eastAsia" w:ascii="Times New Roman" w:hAnsi="Times New Roman" w:eastAsia="方正仿宋_GBK" w:cs="方正仿宋_GBK"/>
          <w:i w:val="0"/>
          <w:iCs w:val="0"/>
          <w:caps w:val="0"/>
          <w:color w:val="auto"/>
          <w:spacing w:val="0"/>
          <w:sz w:val="32"/>
          <w:szCs w:val="32"/>
          <w:shd w:val="clear" w:fill="FFFFFF"/>
        </w:rPr>
        <w:t>情况</w:t>
      </w:r>
      <w:r>
        <w:rPr>
          <w:rFonts w:hint="eastAsia" w:ascii="Times New Roman" w:hAnsi="Times New Roman" w:eastAsia="方正仿宋_GBK" w:cs="方正仿宋_GBK"/>
          <w:i w:val="0"/>
          <w:iCs w:val="0"/>
          <w:caps w:val="0"/>
          <w:color w:val="auto"/>
          <w:spacing w:val="0"/>
          <w:sz w:val="32"/>
          <w:szCs w:val="32"/>
          <w:shd w:val="clear" w:fill="FFFFFF"/>
          <w:lang w:val="en-US" w:eastAsia="zh-CN"/>
        </w:rPr>
        <w:t>报告</w:t>
      </w:r>
      <w:r>
        <w:rPr>
          <w:rFonts w:hint="eastAsia" w:ascii="Times New Roman" w:hAnsi="Times New Roman" w:eastAsia="方正仿宋_GBK" w:cs="方正仿宋_GBK"/>
          <w:i w:val="0"/>
          <w:iCs w:val="0"/>
          <w:caps w:val="0"/>
          <w:color w:val="auto"/>
          <w:spacing w:val="0"/>
          <w:sz w:val="32"/>
          <w:szCs w:val="32"/>
          <w:shd w:val="clear" w:fill="FFFFFF"/>
        </w:rPr>
        <w:t>如下</w:t>
      </w:r>
      <w:r>
        <w:rPr>
          <w:rFonts w:hint="eastAsia" w:ascii="Times New Roman" w:hAnsi="Times New Roman" w:eastAsia="方正仿宋_GBK" w:cs="方正仿宋_GBK"/>
          <w:i w:val="0"/>
          <w:iCs w:val="0"/>
          <w:caps w:val="0"/>
          <w:color w:val="auto"/>
          <w:spacing w:val="0"/>
          <w:sz w:val="32"/>
          <w:szCs w:val="32"/>
          <w:shd w:val="clear" w:fill="FFFFFF"/>
          <w:lang w:eastAsia="zh-CN"/>
        </w:rPr>
        <w:t>：</w:t>
      </w:r>
    </w:p>
    <w:p w14:paraId="06634CE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hint="eastAsia" w:ascii="Times New Roman" w:hAnsi="Times New Roman" w:eastAsia="方正小标宋_GBK" w:cs="方正小标宋_GBK"/>
          <w:i w:val="0"/>
          <w:iCs w:val="0"/>
          <w:caps w:val="0"/>
          <w:color w:val="333333"/>
          <w:spacing w:val="0"/>
          <w:sz w:val="32"/>
          <w:szCs w:val="32"/>
          <w:shd w:val="clear" w:fill="FFFFFF"/>
          <w:lang w:val="en-US" w:eastAsia="zh-CN"/>
        </w:rPr>
      </w:pPr>
      <w:r>
        <w:rPr>
          <w:rFonts w:hint="eastAsia" w:ascii="方正黑体_GBK" w:hAnsi="方正黑体_GBK" w:eastAsia="方正黑体_GBK" w:cs="方正黑体_GBK"/>
          <w:i w:val="0"/>
          <w:iCs w:val="0"/>
          <w:caps w:val="0"/>
          <w:color w:val="333333"/>
          <w:spacing w:val="0"/>
          <w:kern w:val="0"/>
          <w:sz w:val="32"/>
          <w:szCs w:val="32"/>
          <w:shd w:val="clear" w:fill="FFFFFF"/>
          <w:lang w:val="en-US" w:eastAsia="zh-CN" w:bidi="ar"/>
        </w:rPr>
        <w:t>一、</w:t>
      </w:r>
      <w:r>
        <w:rPr>
          <w:rFonts w:hint="eastAsia" w:ascii="方正黑体_GBK" w:hAnsi="方正黑体_GBK" w:eastAsia="方正黑体_GBK" w:cs="方正黑体_GBK"/>
          <w:i w:val="0"/>
          <w:iCs w:val="0"/>
          <w:caps w:val="0"/>
          <w:color w:val="333333"/>
          <w:spacing w:val="0"/>
          <w:sz w:val="32"/>
          <w:szCs w:val="32"/>
          <w:shd w:val="clear" w:fill="FFFFFF"/>
          <w:lang w:val="en-US" w:eastAsia="zh-CN"/>
        </w:rPr>
        <w:t>法治政府建设的主要举措和成效</w:t>
      </w:r>
    </w:p>
    <w:p w14:paraId="6206E005">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方正仿宋_GBK" w:hAnsi="方正仿宋_GBK" w:eastAsia="方正仿宋_GBK" w:cs="方正仿宋_GBK"/>
          <w:color w:val="000000"/>
          <w:sz w:val="32"/>
          <w:szCs w:val="32"/>
          <w:lang w:val="en-US" w:eastAsia="zh-CN"/>
        </w:rPr>
      </w:pPr>
      <w:r>
        <w:rPr>
          <w:rFonts w:hint="eastAsia" w:ascii="Times New Roman" w:hAnsi="Times New Roman" w:eastAsia="方正楷体_GBK" w:cs="方正楷体_GBK"/>
          <w:i w:val="0"/>
          <w:iCs w:val="0"/>
          <w:caps w:val="0"/>
          <w:color w:val="auto"/>
          <w:spacing w:val="0"/>
          <w:sz w:val="32"/>
          <w:szCs w:val="32"/>
          <w:shd w:val="clear" w:fill="FFFFFF"/>
          <w:lang w:val="en-US" w:eastAsia="zh-CN"/>
        </w:rPr>
        <w:t>（一）扛牢第一责任，切实推进法治政府建设。一是</w:t>
      </w:r>
      <w:r>
        <w:rPr>
          <w:rFonts w:hint="eastAsia" w:ascii="方正仿宋_GBK" w:hAnsi="方正仿宋_GBK" w:eastAsia="方正仿宋_GBK" w:cs="方正仿宋_GBK"/>
          <w:i w:val="0"/>
          <w:iCs w:val="0"/>
          <w:caps w:val="0"/>
          <w:color w:val="auto"/>
          <w:spacing w:val="0"/>
          <w:sz w:val="32"/>
          <w:szCs w:val="32"/>
          <w:shd w:val="clear" w:fill="FFFFFF"/>
          <w:lang w:val="en-US" w:eastAsia="zh-CN"/>
        </w:rPr>
        <w:t>压实主体责任，筑牢工作根基。</w:t>
      </w:r>
      <w:r>
        <w:rPr>
          <w:rFonts w:hint="eastAsia" w:ascii="方正仿宋_GBK" w:hAnsi="方正仿宋_GBK" w:eastAsia="方正仿宋_GBK" w:cs="方正仿宋_GBK"/>
          <w:color w:val="000000"/>
          <w:sz w:val="32"/>
          <w:szCs w:val="32"/>
          <w:lang w:val="en-US" w:eastAsia="zh-CN"/>
        </w:rPr>
        <w:t>成立法治建设工作</w:t>
      </w:r>
      <w:r>
        <w:rPr>
          <w:rFonts w:hint="eastAsia" w:ascii="方正仿宋_GBK" w:hAnsi="方正仿宋_GBK" w:eastAsia="方正仿宋_GBK" w:cs="方正仿宋_GBK"/>
          <w:color w:val="000000"/>
          <w:sz w:val="32"/>
          <w:szCs w:val="32"/>
          <w:lang w:eastAsia="zh-CN"/>
        </w:rPr>
        <w:t>领导小组，</w:t>
      </w:r>
      <w:r>
        <w:rPr>
          <w:rFonts w:hint="eastAsia" w:ascii="方正仿宋_GBK" w:hAnsi="方正仿宋_GBK" w:eastAsia="方正仿宋_GBK" w:cs="方正仿宋_GBK"/>
          <w:color w:val="000000"/>
          <w:sz w:val="32"/>
          <w:szCs w:val="32"/>
          <w:lang w:val="en-US" w:eastAsia="zh-CN"/>
        </w:rPr>
        <w:t>由局党组书记任组长</w:t>
      </w:r>
      <w:r>
        <w:rPr>
          <w:rFonts w:hint="eastAsia" w:ascii="方正仿宋_GBK" w:hAnsi="方正仿宋_GBK" w:eastAsia="方正仿宋_GBK" w:cs="方正仿宋_GBK"/>
          <w:color w:val="000000"/>
          <w:sz w:val="32"/>
          <w:szCs w:val="32"/>
        </w:rPr>
        <w:t>，班子成员</w:t>
      </w:r>
      <w:r>
        <w:rPr>
          <w:rFonts w:hint="eastAsia" w:ascii="方正仿宋_GBK" w:hAnsi="方正仿宋_GBK" w:eastAsia="方正仿宋_GBK" w:cs="方正仿宋_GBK"/>
          <w:color w:val="000000"/>
          <w:sz w:val="32"/>
          <w:szCs w:val="32"/>
          <w:lang w:val="en-US" w:eastAsia="zh-CN"/>
        </w:rPr>
        <w:t>任</w:t>
      </w:r>
      <w:r>
        <w:rPr>
          <w:rFonts w:hint="eastAsia" w:ascii="方正仿宋_GBK" w:hAnsi="方正仿宋_GBK" w:eastAsia="方正仿宋_GBK" w:cs="方正仿宋_GBK"/>
          <w:color w:val="000000"/>
          <w:sz w:val="32"/>
          <w:szCs w:val="32"/>
        </w:rPr>
        <w:t>副组长，</w:t>
      </w:r>
      <w:r>
        <w:rPr>
          <w:rFonts w:hint="eastAsia" w:ascii="方正仿宋_GBK" w:hAnsi="方正仿宋_GBK" w:eastAsia="方正仿宋_GBK" w:cs="方正仿宋_GBK"/>
          <w:color w:val="000000"/>
          <w:sz w:val="32"/>
          <w:szCs w:val="32"/>
          <w:lang w:val="en-US" w:eastAsia="zh-CN"/>
        </w:rPr>
        <w:t>形成“</w:t>
      </w:r>
      <w:r>
        <w:rPr>
          <w:rFonts w:hint="eastAsia" w:ascii="方正仿宋_GBK" w:hAnsi="方正仿宋_GBK" w:eastAsia="方正仿宋_GBK" w:cs="方正仿宋_GBK"/>
          <w:color w:val="000000"/>
          <w:sz w:val="32"/>
          <w:szCs w:val="32"/>
        </w:rPr>
        <w:t>主要领导亲自抓，</w:t>
      </w:r>
      <w:r>
        <w:rPr>
          <w:rFonts w:hint="eastAsia" w:ascii="方正仿宋_GBK" w:hAnsi="方正仿宋_GBK" w:eastAsia="方正仿宋_GBK" w:cs="方正仿宋_GBK"/>
          <w:color w:val="000000"/>
          <w:sz w:val="32"/>
          <w:szCs w:val="32"/>
          <w:lang w:val="en-US" w:eastAsia="zh-CN"/>
        </w:rPr>
        <w:t>分管领导具体抓，</w:t>
      </w:r>
      <w:r>
        <w:rPr>
          <w:rFonts w:hint="eastAsia" w:ascii="方正仿宋_GBK" w:hAnsi="方正仿宋_GBK" w:eastAsia="方正仿宋_GBK" w:cs="方正仿宋_GBK"/>
          <w:color w:val="000000"/>
          <w:sz w:val="32"/>
          <w:szCs w:val="32"/>
          <w:lang w:eastAsia="zh-CN"/>
        </w:rPr>
        <w:t>各科室协同落实</w:t>
      </w:r>
      <w:r>
        <w:rPr>
          <w:rFonts w:hint="eastAsia" w:ascii="方正仿宋_GBK" w:hAnsi="方正仿宋_GBK" w:eastAsia="方正仿宋_GBK" w:cs="方正仿宋_GBK"/>
          <w:color w:val="000000"/>
          <w:sz w:val="32"/>
          <w:szCs w:val="32"/>
          <w:lang w:val="en-US" w:eastAsia="zh-CN"/>
        </w:rPr>
        <w:t>”的工作格局，</w:t>
      </w:r>
      <w:r>
        <w:rPr>
          <w:rFonts w:hint="eastAsia" w:ascii="方正仿宋_GBK" w:hAnsi="方正仿宋_GBK" w:eastAsia="方正仿宋_GBK" w:cs="方正仿宋_GBK"/>
          <w:b w:val="0"/>
          <w:bCs w:val="0"/>
          <w:color w:val="auto"/>
          <w:sz w:val="32"/>
          <w:szCs w:val="32"/>
          <w:lang w:val="en-US" w:eastAsia="zh-CN"/>
        </w:rPr>
        <w:t>将法治政府建设工作与核心业务工作同谋划、同部署、同推进。</w:t>
      </w:r>
      <w:r>
        <w:rPr>
          <w:rFonts w:hint="eastAsia" w:ascii="Times New Roman" w:hAnsi="Times New Roman" w:eastAsia="方正楷体_GBK" w:cs="方正楷体_GBK"/>
          <w:i w:val="0"/>
          <w:iCs w:val="0"/>
          <w:caps w:val="0"/>
          <w:color w:val="auto"/>
          <w:spacing w:val="0"/>
          <w:sz w:val="32"/>
          <w:szCs w:val="32"/>
          <w:shd w:val="clear" w:fill="FFFFFF"/>
          <w:lang w:val="en-US" w:eastAsia="zh-CN"/>
        </w:rPr>
        <w:t>二是</w:t>
      </w:r>
      <w:r>
        <w:rPr>
          <w:rFonts w:hint="eastAsia" w:ascii="方正仿宋_GBK" w:hAnsi="方正仿宋_GBK" w:eastAsia="方正仿宋_GBK" w:cs="方正仿宋_GBK"/>
          <w:i w:val="0"/>
          <w:iCs w:val="0"/>
          <w:caps w:val="0"/>
          <w:color w:val="auto"/>
          <w:spacing w:val="0"/>
          <w:sz w:val="32"/>
          <w:szCs w:val="32"/>
          <w:shd w:val="clear" w:fill="FFFFFF"/>
          <w:lang w:val="en-US" w:eastAsia="zh-CN"/>
        </w:rPr>
        <w:t>强化示范引领，提升履职质效。局党组书记</w:t>
      </w:r>
      <w:r>
        <w:rPr>
          <w:rFonts w:hint="eastAsia" w:ascii="方正仿宋_GBK" w:hAnsi="方正仿宋_GBK" w:eastAsia="方正仿宋_GBK" w:cs="方正仿宋_GBK"/>
          <w:color w:val="000000"/>
          <w:sz w:val="32"/>
          <w:szCs w:val="32"/>
          <w:lang w:val="en-US" w:eastAsia="zh-CN"/>
        </w:rPr>
        <w:t>带头深入学习领会习近平法治思想深刻内涵，牵头研究制定《巴南区招商投资促进局2025年普法工作计划》，常态化听取法治建设工作落实情况汇报，靶向攻坚难点卡点问题，多措并举提升全局干部职工法治素养和依法履职、依法招商能力。严格执行</w:t>
      </w:r>
      <w:r>
        <w:rPr>
          <w:rFonts w:hint="eastAsia" w:ascii="方正仿宋_GBK" w:hAnsi="方正仿宋_GBK" w:eastAsia="方正仿宋_GBK" w:cs="方正仿宋_GBK"/>
          <w:color w:val="000000"/>
          <w:sz w:val="32"/>
          <w:szCs w:val="32"/>
          <w:highlight w:val="none"/>
          <w:lang w:val="en-US" w:eastAsia="zh-CN"/>
        </w:rPr>
        <w:t>述法</w:t>
      </w:r>
      <w:r>
        <w:rPr>
          <w:rFonts w:hint="eastAsia" w:ascii="方正仿宋_GBK" w:hAnsi="方正仿宋_GBK" w:eastAsia="方正仿宋_GBK" w:cs="方正仿宋_GBK"/>
          <w:color w:val="000000"/>
          <w:sz w:val="32"/>
          <w:szCs w:val="32"/>
          <w:lang w:val="en-US" w:eastAsia="zh-CN"/>
        </w:rPr>
        <w:t>相关规定，主动接受评议。</w:t>
      </w:r>
    </w:p>
    <w:p w14:paraId="1DE67A75">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方正仿宋_GBK" w:hAnsi="方正仿宋_GBK" w:eastAsia="方正仿宋_GBK" w:cs="方正仿宋_GBK"/>
          <w:i w:val="0"/>
          <w:iCs w:val="0"/>
          <w:caps w:val="0"/>
          <w:color w:val="auto"/>
          <w:spacing w:val="0"/>
          <w:kern w:val="2"/>
          <w:sz w:val="32"/>
          <w:szCs w:val="32"/>
          <w:shd w:val="clear" w:fill="FFFFFF"/>
          <w:lang w:val="en-US" w:eastAsia="zh-CN" w:bidi="ar-SA"/>
        </w:rPr>
      </w:pPr>
      <w:r>
        <w:rPr>
          <w:rFonts w:hint="eastAsia" w:ascii="Times New Roman" w:hAnsi="Times New Roman" w:eastAsia="方正楷体_GBK" w:cs="方正楷体_GBK"/>
          <w:i w:val="0"/>
          <w:iCs w:val="0"/>
          <w:caps w:val="0"/>
          <w:color w:val="auto"/>
          <w:spacing w:val="0"/>
          <w:sz w:val="32"/>
          <w:szCs w:val="32"/>
          <w:shd w:val="clear" w:fill="FFFFFF"/>
          <w:lang w:val="en-US" w:eastAsia="zh-CN"/>
        </w:rPr>
        <w:t>（二）纵深推进学悟笃行习近平法治思想。</w:t>
      </w:r>
      <w:r>
        <w:rPr>
          <w:rFonts w:hint="eastAsia" w:ascii="方正楷体_GBK" w:hAnsi="方正楷体_GBK" w:eastAsia="方正楷体_GBK" w:cs="方正楷体_GBK"/>
          <w:i w:val="0"/>
          <w:iCs w:val="0"/>
          <w:caps w:val="0"/>
          <w:color w:val="auto"/>
          <w:spacing w:val="0"/>
          <w:sz w:val="32"/>
          <w:szCs w:val="32"/>
          <w:shd w:val="clear" w:fill="FFFFFF"/>
          <w:lang w:val="en-US" w:eastAsia="zh-CN"/>
        </w:rPr>
        <w:t>一是</w:t>
      </w:r>
      <w:r>
        <w:rPr>
          <w:rFonts w:hint="eastAsia" w:ascii="方正仿宋_GBK" w:hAnsi="方正仿宋_GBK" w:eastAsia="方正仿宋_GBK" w:cs="方正仿宋_GBK"/>
          <w:i w:val="0"/>
          <w:iCs w:val="0"/>
          <w:caps w:val="0"/>
          <w:color w:val="auto"/>
          <w:spacing w:val="0"/>
          <w:sz w:val="32"/>
          <w:szCs w:val="32"/>
          <w:shd w:val="clear" w:fill="FFFFFF"/>
          <w:lang w:val="en-US" w:eastAsia="zh-CN"/>
        </w:rPr>
        <w:t>抓牢学习宣传，厚植法治思想。</w:t>
      </w:r>
      <w:r>
        <w:rPr>
          <w:rFonts w:hint="eastAsia" w:ascii="方正仿宋_GBK" w:hAnsi="方正仿宋_GBK" w:eastAsia="方正仿宋_GBK" w:cs="方正仿宋_GBK"/>
          <w:color w:val="auto"/>
          <w:sz w:val="32"/>
          <w:szCs w:val="32"/>
          <w:lang w:eastAsia="zh-CN"/>
        </w:rPr>
        <w:t>始终坚持把学习贯彻习近平法治思想作为重大政治任务和长期战略任务，</w:t>
      </w:r>
      <w:r>
        <w:rPr>
          <w:rFonts w:hint="eastAsia" w:ascii="方正仿宋_GBK" w:hAnsi="方正仿宋_GBK" w:eastAsia="方正仿宋_GBK" w:cs="方正仿宋_GBK"/>
          <w:color w:val="auto"/>
          <w:sz w:val="32"/>
          <w:szCs w:val="32"/>
          <w:lang w:val="en-US" w:eastAsia="zh-CN"/>
        </w:rPr>
        <w:t>组织理论学习中心组学习、主题党日、</w:t>
      </w:r>
      <w:r>
        <w:rPr>
          <w:rFonts w:hint="eastAsia" w:ascii="方正仿宋_GBK" w:hAnsi="方正仿宋_GBK" w:eastAsia="方正仿宋_GBK" w:cs="方正仿宋_GBK"/>
          <w:color w:val="auto"/>
          <w:sz w:val="32"/>
          <w:szCs w:val="32"/>
          <w:lang w:eastAsia="zh-CN"/>
        </w:rPr>
        <w:t>干部职工大会专题学习《习近平法治思想学习纲要》《习近平法治思想干部教育培训读本》等</w:t>
      </w:r>
      <w:r>
        <w:rPr>
          <w:rFonts w:hint="eastAsia" w:ascii="方正仿宋_GBK" w:hAnsi="方正仿宋_GBK" w:eastAsia="方正仿宋_GBK" w:cs="方正仿宋_GBK"/>
          <w:color w:val="auto"/>
          <w:sz w:val="32"/>
          <w:szCs w:val="32"/>
          <w:lang w:val="en-US" w:eastAsia="zh-CN"/>
        </w:rPr>
        <w:t>内容，开展</w:t>
      </w:r>
      <w:r>
        <w:rPr>
          <w:rFonts w:hint="eastAsia" w:ascii="方正仿宋_GBK" w:hAnsi="方正仿宋_GBK" w:eastAsia="方正仿宋_GBK" w:cs="方正仿宋_GBK"/>
          <w:color w:val="auto"/>
          <w:sz w:val="32"/>
          <w:szCs w:val="32"/>
          <w:lang w:eastAsia="zh-CN"/>
        </w:rPr>
        <w:t>“以案四说”警示教育活动</w:t>
      </w:r>
      <w:r>
        <w:rPr>
          <w:rFonts w:hint="eastAsia" w:ascii="方正仿宋_GBK" w:hAnsi="方正仿宋_GBK" w:eastAsia="方正仿宋_GBK" w:cs="方正仿宋_GBK"/>
          <w:color w:val="auto"/>
          <w:sz w:val="32"/>
          <w:szCs w:val="32"/>
          <w:lang w:val="en-US" w:eastAsia="zh-CN"/>
        </w:rPr>
        <w:t>集中学法，邀请法律顾问开展“招商投资协议制作审查实务”法律培训等近10次</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lang w:val="en-US" w:eastAsia="zh-CN"/>
        </w:rPr>
        <w:t>常态化组织开展宣传活动，通过</w:t>
      </w:r>
      <w:r>
        <w:rPr>
          <w:rFonts w:hint="eastAsia" w:ascii="方正仿宋_GBK" w:hAnsi="方正仿宋_GBK" w:eastAsia="方正仿宋_GBK" w:cs="方正仿宋_GBK"/>
          <w:i w:val="0"/>
          <w:iCs w:val="0"/>
          <w:caps w:val="0"/>
          <w:color w:val="auto"/>
          <w:spacing w:val="0"/>
          <w:kern w:val="2"/>
          <w:sz w:val="32"/>
          <w:szCs w:val="32"/>
          <w:shd w:val="clear" w:fill="FFFFFF"/>
          <w:lang w:val="en-US" w:eastAsia="zh-CN" w:bidi="ar-SA"/>
        </w:rPr>
        <w:t>政府网站、“巴南招商”公众号等新媒体平台，及时发布法律法规、政策解读、工作动态等内容</w:t>
      </w:r>
      <w:r>
        <w:rPr>
          <w:rFonts w:hint="eastAsia" w:ascii="方正仿宋_GBK" w:hAnsi="方正仿宋_GBK" w:eastAsia="方正仿宋_GBK" w:cs="方正仿宋_GBK"/>
          <w:i w:val="0"/>
          <w:iCs w:val="0"/>
          <w:caps w:val="0"/>
          <w:color w:val="auto"/>
          <w:spacing w:val="0"/>
          <w:kern w:val="2"/>
          <w:sz w:val="32"/>
          <w:szCs w:val="32"/>
          <w:highlight w:val="none"/>
          <w:shd w:val="clear" w:fill="FFFFFF"/>
          <w:lang w:val="en-US" w:eastAsia="zh-CN" w:bidi="ar-SA"/>
        </w:rPr>
        <w:t>80</w:t>
      </w:r>
      <w:r>
        <w:rPr>
          <w:rFonts w:hint="eastAsia" w:ascii="方正仿宋_GBK" w:hAnsi="方正仿宋_GBK" w:eastAsia="方正仿宋_GBK" w:cs="方正仿宋_GBK"/>
          <w:i w:val="0"/>
          <w:iCs w:val="0"/>
          <w:caps w:val="0"/>
          <w:color w:val="auto"/>
          <w:spacing w:val="0"/>
          <w:kern w:val="2"/>
          <w:sz w:val="32"/>
          <w:szCs w:val="32"/>
          <w:shd w:val="clear" w:fill="FFFFFF"/>
          <w:lang w:val="en-US" w:eastAsia="zh-CN" w:bidi="ar-SA"/>
        </w:rPr>
        <w:t>余条，组织干部职工观看普法电影，营造尊法学法守法用法浓厚氛围。</w:t>
      </w:r>
      <w:r>
        <w:rPr>
          <w:rFonts w:hint="eastAsia" w:ascii="方正仿宋_GBK" w:hAnsi="方正仿宋_GBK" w:eastAsia="方正仿宋_GBK" w:cs="方正仿宋_GBK"/>
          <w:b w:val="0"/>
          <w:bCs w:val="0"/>
          <w:color w:val="auto"/>
          <w:sz w:val="32"/>
          <w:szCs w:val="32"/>
          <w:lang w:val="en-US" w:eastAsia="zh-CN"/>
        </w:rPr>
        <w:t>推动普法工作融入招商服务全流程，在项目洽谈、签约落地、后续服务等环节主动向企业宣讲产业政策、投资保护、公平竞争等领域法律法规，为企业提供法律咨询服务。</w:t>
      </w:r>
      <w:r>
        <w:rPr>
          <w:rFonts w:hint="eastAsia" w:ascii="Times New Roman" w:hAnsi="Times New Roman" w:eastAsia="方正楷体_GBK" w:cs="方正楷体_GBK"/>
          <w:i w:val="0"/>
          <w:iCs w:val="0"/>
          <w:caps w:val="0"/>
          <w:color w:val="auto"/>
          <w:spacing w:val="0"/>
          <w:sz w:val="32"/>
          <w:szCs w:val="32"/>
          <w:shd w:val="clear" w:fill="FFFFFF"/>
          <w:lang w:val="en-US" w:eastAsia="zh-CN"/>
        </w:rPr>
        <w:t>二是</w:t>
      </w:r>
      <w:r>
        <w:rPr>
          <w:rFonts w:hint="eastAsia" w:ascii="方正仿宋_GBK" w:hAnsi="方正仿宋_GBK" w:eastAsia="方正仿宋_GBK" w:cs="方正仿宋_GBK"/>
          <w:b w:val="0"/>
          <w:bCs w:val="0"/>
          <w:i w:val="0"/>
          <w:iCs w:val="0"/>
          <w:caps w:val="0"/>
          <w:color w:val="auto"/>
          <w:spacing w:val="0"/>
          <w:sz w:val="32"/>
          <w:szCs w:val="32"/>
          <w:shd w:val="clear" w:fill="FFFFFF"/>
          <w:lang w:val="en-US" w:eastAsia="zh-CN"/>
        </w:rPr>
        <w:t>履行法治责任，提升法治素养。</w:t>
      </w:r>
      <w:r>
        <w:rPr>
          <w:rFonts w:hint="eastAsia" w:ascii="方正仿宋_GBK" w:hAnsi="方正仿宋_GBK" w:eastAsia="方正仿宋_GBK" w:cs="方正仿宋_GBK"/>
          <w:b w:val="0"/>
          <w:bCs w:val="0"/>
          <w:color w:val="auto"/>
          <w:sz w:val="32"/>
          <w:szCs w:val="32"/>
          <w:lang w:val="en-US" w:eastAsia="zh-CN"/>
        </w:rPr>
        <w:t>制定普法责任清单，实行动态管理，确保“事事有人管、人人有责任”。利用重庆市法治理论知识考试平台等线上平台，组织全局干部职工参加“重庆市法治理论知识考试平台”年度法治理论知识学习考试和在线旁听法院庭审，参学参考率及合格率均达100%。</w:t>
      </w:r>
      <w:r>
        <w:rPr>
          <w:rFonts w:hint="eastAsia" w:ascii="Times New Roman" w:hAnsi="Times New Roman" w:eastAsia="方正楷体_GBK" w:cs="方正楷体_GBK"/>
          <w:i w:val="0"/>
          <w:iCs w:val="0"/>
          <w:caps w:val="0"/>
          <w:color w:val="auto"/>
          <w:spacing w:val="0"/>
          <w:sz w:val="32"/>
          <w:szCs w:val="32"/>
          <w:shd w:val="clear" w:fill="FFFFFF"/>
          <w:lang w:val="en-US" w:eastAsia="zh-CN"/>
        </w:rPr>
        <w:t>三是</w:t>
      </w:r>
      <w:r>
        <w:rPr>
          <w:rFonts w:hint="eastAsia" w:ascii="方正仿宋_GBK" w:hAnsi="方正仿宋_GBK" w:eastAsia="方正仿宋_GBK" w:cs="方正仿宋_GBK"/>
          <w:b w:val="0"/>
          <w:bCs w:val="0"/>
          <w:i w:val="0"/>
          <w:iCs w:val="0"/>
          <w:caps w:val="0"/>
          <w:color w:val="auto"/>
          <w:spacing w:val="0"/>
          <w:sz w:val="32"/>
          <w:szCs w:val="32"/>
          <w:shd w:val="clear" w:fill="FFFFFF"/>
          <w:lang w:val="en-US" w:eastAsia="zh-CN"/>
        </w:rPr>
        <w:t>把握关键节点，深耕普法阵地。</w:t>
      </w:r>
      <w:r>
        <w:rPr>
          <w:rFonts w:hint="eastAsia" w:ascii="方正仿宋_GBK" w:hAnsi="方正仿宋_GBK" w:eastAsia="方正仿宋_GBK" w:cs="方正仿宋_GBK"/>
          <w:i w:val="0"/>
          <w:iCs w:val="0"/>
          <w:caps w:val="0"/>
          <w:color w:val="auto"/>
          <w:spacing w:val="0"/>
          <w:kern w:val="2"/>
          <w:sz w:val="32"/>
          <w:szCs w:val="32"/>
          <w:shd w:val="clear" w:fill="FFFFFF"/>
          <w:lang w:val="en-US" w:eastAsia="zh-CN" w:bidi="ar-SA"/>
        </w:rPr>
        <w:t>结合“4·15”全民国家安全教育日、“12·4”国家宪法日等关键时间节点，组织开展“乡村振兴·法治护航”送法下乡活动、法律知识竞答活动；组织干部职工常态化深入企业，开展“法律服务助推民营经济发展”“送法进企业”“渝尚法·赋能强企”等专项行动，全年走访园区及企业</w:t>
      </w:r>
      <w:r>
        <w:rPr>
          <w:rFonts w:hint="eastAsia" w:ascii="方正仿宋_GBK" w:hAnsi="方正仿宋_GBK" w:eastAsia="方正仿宋_GBK" w:cs="方正仿宋_GBK"/>
          <w:i w:val="0"/>
          <w:iCs w:val="0"/>
          <w:caps w:val="0"/>
          <w:color w:val="auto"/>
          <w:spacing w:val="0"/>
          <w:kern w:val="2"/>
          <w:sz w:val="32"/>
          <w:szCs w:val="32"/>
          <w:highlight w:val="none"/>
          <w:shd w:val="clear" w:fill="FFFFFF"/>
          <w:lang w:val="en-US" w:eastAsia="zh-CN" w:bidi="ar-SA"/>
        </w:rPr>
        <w:t>80</w:t>
      </w:r>
      <w:r>
        <w:rPr>
          <w:rFonts w:hint="eastAsia" w:ascii="方正仿宋_GBK" w:hAnsi="方正仿宋_GBK" w:eastAsia="方正仿宋_GBK" w:cs="方正仿宋_GBK"/>
          <w:i w:val="0"/>
          <w:iCs w:val="0"/>
          <w:caps w:val="0"/>
          <w:color w:val="auto"/>
          <w:spacing w:val="0"/>
          <w:kern w:val="2"/>
          <w:sz w:val="32"/>
          <w:szCs w:val="32"/>
          <w:shd w:val="clear" w:fill="FFFFFF"/>
          <w:lang w:val="en-US" w:eastAsia="zh-CN" w:bidi="ar-SA"/>
        </w:rPr>
        <w:t>余家，发放宣传资料120余份，提供法律咨询服务8次，收集并协同相关部门帮助企业解决实际困难</w:t>
      </w:r>
      <w:r>
        <w:rPr>
          <w:rFonts w:hint="eastAsia" w:ascii="方正仿宋_GBK" w:hAnsi="方正仿宋_GBK" w:eastAsia="方正仿宋_GBK" w:cs="方正仿宋_GBK"/>
          <w:i w:val="0"/>
          <w:iCs w:val="0"/>
          <w:caps w:val="0"/>
          <w:color w:val="auto"/>
          <w:spacing w:val="0"/>
          <w:kern w:val="2"/>
          <w:sz w:val="32"/>
          <w:szCs w:val="32"/>
          <w:highlight w:val="none"/>
          <w:shd w:val="clear" w:fill="FFFFFF"/>
          <w:lang w:val="en-US" w:eastAsia="zh-CN" w:bidi="ar-SA"/>
        </w:rPr>
        <w:t>20余次</w:t>
      </w:r>
      <w:r>
        <w:rPr>
          <w:rFonts w:hint="eastAsia" w:ascii="方正仿宋_GBK" w:hAnsi="方正仿宋_GBK" w:eastAsia="方正仿宋_GBK" w:cs="方正仿宋_GBK"/>
          <w:i w:val="0"/>
          <w:iCs w:val="0"/>
          <w:caps w:val="0"/>
          <w:color w:val="auto"/>
          <w:spacing w:val="0"/>
          <w:kern w:val="2"/>
          <w:sz w:val="32"/>
          <w:szCs w:val="32"/>
          <w:shd w:val="clear" w:fill="FFFFFF"/>
          <w:lang w:val="en-US" w:eastAsia="zh-CN" w:bidi="ar-SA"/>
        </w:rPr>
        <w:t>，切实助力企业健康发展。开展“八五”普法自查评估，以验收总结为重要支撑，科学谋划“九五”普法规划，锚定重点工作方向。</w:t>
      </w:r>
    </w:p>
    <w:p w14:paraId="5E7943C0">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方正仿宋_GBK" w:hAnsi="方正仿宋_GBK" w:eastAsia="方正仿宋_GBK" w:cs="方正仿宋_GBK"/>
          <w:b w:val="0"/>
          <w:bCs w:val="0"/>
          <w:color w:val="auto"/>
          <w:spacing w:val="0"/>
          <w:sz w:val="32"/>
          <w:szCs w:val="32"/>
          <w:u w:val="none" w:color="auto"/>
          <w:lang w:val="en-US" w:eastAsia="zh-CN"/>
        </w:rPr>
      </w:pPr>
      <w:r>
        <w:rPr>
          <w:rFonts w:hint="eastAsia" w:ascii="Times New Roman" w:hAnsi="Times New Roman" w:eastAsia="方正楷体_GBK" w:cs="方正楷体_GBK"/>
          <w:b w:val="0"/>
          <w:bCs w:val="0"/>
          <w:i w:val="0"/>
          <w:iCs w:val="0"/>
          <w:caps w:val="0"/>
          <w:color w:val="auto"/>
          <w:spacing w:val="0"/>
          <w:sz w:val="32"/>
          <w:szCs w:val="32"/>
          <w:shd w:val="clear" w:fill="FFFFFF"/>
          <w:lang w:val="en-US" w:eastAsia="zh-CN"/>
        </w:rPr>
        <w:t>（三）强化诚信政府建设，推进科学民主依法决策。</w:t>
      </w:r>
      <w:r>
        <w:rPr>
          <w:rFonts w:hint="eastAsia" w:ascii="Times New Roman" w:hAnsi="Times New Roman" w:eastAsia="方正楷体_GBK" w:cs="方正楷体_GBK"/>
          <w:i w:val="0"/>
          <w:iCs w:val="0"/>
          <w:caps w:val="0"/>
          <w:color w:val="auto"/>
          <w:spacing w:val="0"/>
          <w:sz w:val="32"/>
          <w:szCs w:val="32"/>
          <w:shd w:val="clear" w:fill="FFFFFF"/>
          <w:lang w:val="en-US" w:eastAsia="zh-CN"/>
        </w:rPr>
        <w:t>一是</w:t>
      </w:r>
      <w:r>
        <w:rPr>
          <w:rFonts w:hint="eastAsia" w:ascii="方正仿宋_GBK" w:hAnsi="方正仿宋_GBK" w:eastAsia="方正仿宋_GBK" w:cs="方正仿宋_GBK"/>
          <w:b w:val="0"/>
          <w:bCs w:val="0"/>
          <w:i w:val="0"/>
          <w:iCs w:val="0"/>
          <w:caps w:val="0"/>
          <w:color w:val="auto"/>
          <w:spacing w:val="0"/>
          <w:sz w:val="32"/>
          <w:szCs w:val="32"/>
          <w:shd w:val="clear" w:fill="FFFFFF"/>
          <w:lang w:val="en-US" w:eastAsia="zh-CN"/>
        </w:rPr>
        <w:t>聚焦产业生态优化，推动高质量跃升。</w:t>
      </w:r>
      <w:r>
        <w:rPr>
          <w:rFonts w:hint="eastAsia" w:ascii="方正仿宋_GBK" w:hAnsi="方正仿宋_GBK" w:eastAsia="方正仿宋_GBK" w:cs="方正仿宋_GBK"/>
          <w:i w:val="0"/>
          <w:iCs w:val="0"/>
          <w:caps w:val="0"/>
          <w:color w:val="auto"/>
          <w:spacing w:val="0"/>
          <w:kern w:val="2"/>
          <w:sz w:val="32"/>
          <w:szCs w:val="32"/>
          <w:highlight w:val="none"/>
          <w:shd w:val="clear" w:fill="FFFFFF"/>
          <w:lang w:val="en-US" w:eastAsia="zh-CN" w:bidi="ar-SA"/>
        </w:rPr>
        <w:t>研究制定《巴南区促进产业高质量发展若干措施》</w:t>
      </w:r>
      <w:r>
        <w:rPr>
          <w:rFonts w:hint="eastAsia" w:ascii="方正仿宋_GBK" w:hAnsi="方正仿宋_GBK" w:eastAsia="方正仿宋_GBK" w:cs="方正仿宋_GBK"/>
          <w:i w:val="0"/>
          <w:iCs w:val="0"/>
          <w:caps w:val="0"/>
          <w:color w:val="auto"/>
          <w:spacing w:val="0"/>
          <w:kern w:val="2"/>
          <w:sz w:val="32"/>
          <w:szCs w:val="32"/>
          <w:shd w:val="clear" w:fill="FFFFFF"/>
          <w:lang w:val="en-US" w:eastAsia="zh-CN" w:bidi="ar-SA"/>
        </w:rPr>
        <w:t>，协同行业主管部门汇资源、促发展，加强行业指导、政策赋能，全面覆盖项目“引进—落地—建设—投产—扩产”全生命周期。在招商引资工作中，严格依法依规进行，坚决杜绝“内卷式”竞争，持续优化营商环境，切实提升招商引资质效。</w:t>
      </w:r>
      <w:r>
        <w:rPr>
          <w:rFonts w:hint="eastAsia" w:ascii="Times New Roman" w:hAnsi="Times New Roman" w:eastAsia="方正楷体_GBK" w:cs="方正楷体_GBK"/>
          <w:i w:val="0"/>
          <w:iCs w:val="0"/>
          <w:caps w:val="0"/>
          <w:color w:val="auto"/>
          <w:spacing w:val="0"/>
          <w:sz w:val="32"/>
          <w:szCs w:val="32"/>
          <w:shd w:val="clear" w:fill="FFFFFF"/>
          <w:lang w:val="en-US" w:eastAsia="zh-CN"/>
        </w:rPr>
        <w:t>二是</w:t>
      </w:r>
      <w:r>
        <w:rPr>
          <w:rFonts w:hint="eastAsia" w:ascii="方正仿宋_GBK" w:hAnsi="方正仿宋_GBK" w:eastAsia="方正仿宋_GBK" w:cs="方正仿宋_GBK"/>
          <w:b w:val="0"/>
          <w:bCs w:val="0"/>
          <w:i w:val="0"/>
          <w:iCs w:val="0"/>
          <w:caps w:val="0"/>
          <w:color w:val="auto"/>
          <w:spacing w:val="0"/>
          <w:sz w:val="32"/>
          <w:szCs w:val="32"/>
          <w:shd w:val="clear" w:fill="FFFFFF"/>
          <w:lang w:val="en-US" w:eastAsia="zh-CN"/>
        </w:rPr>
        <w:t>优化集体决策程序，注重投资协议审核。</w:t>
      </w:r>
      <w:r>
        <w:rPr>
          <w:rFonts w:hint="eastAsia" w:ascii="方正仿宋_GBK" w:hAnsi="方正仿宋_GBK" w:eastAsia="方正仿宋_GBK" w:cs="方正仿宋_GBK"/>
          <w:i w:val="0"/>
          <w:iCs w:val="0"/>
          <w:caps w:val="0"/>
          <w:color w:val="auto"/>
          <w:spacing w:val="0"/>
          <w:kern w:val="2"/>
          <w:sz w:val="32"/>
          <w:szCs w:val="32"/>
          <w:shd w:val="clear" w:fill="FFFFFF"/>
          <w:lang w:val="en-US" w:eastAsia="zh-CN" w:bidi="ar-SA"/>
        </w:rPr>
        <w:t>坚持科学决策、</w:t>
      </w:r>
      <w:r>
        <w:rPr>
          <w:rFonts w:hint="eastAsia" w:ascii="方正仿宋_GBK" w:hAnsi="方正仿宋_GBK" w:eastAsia="方正仿宋_GBK" w:cs="方正仿宋_GBK"/>
          <w:b w:val="0"/>
          <w:bCs w:val="0"/>
          <w:color w:val="auto"/>
          <w:spacing w:val="0"/>
          <w:sz w:val="32"/>
          <w:szCs w:val="32"/>
          <w:u w:val="none" w:color="auto"/>
          <w:lang w:eastAsia="zh-CN"/>
        </w:rPr>
        <w:t>合规管理，履行“三重一大”集体决策程序，实行分级分类集体决策。</w:t>
      </w:r>
      <w:r>
        <w:rPr>
          <w:rFonts w:hint="eastAsia" w:ascii="方正仿宋_GBK" w:hAnsi="方正仿宋_GBK" w:eastAsia="方正仿宋_GBK" w:cs="方正仿宋_GBK"/>
          <w:b w:val="0"/>
          <w:bCs w:val="0"/>
          <w:snapToGrid w:val="0"/>
          <w:color w:val="auto"/>
          <w:spacing w:val="0"/>
          <w:kern w:val="0"/>
          <w:sz w:val="32"/>
          <w:szCs w:val="32"/>
          <w:u w:val="none" w:color="auto"/>
          <w:lang w:eastAsia="zh-CN"/>
        </w:rPr>
        <w:t>强化</w:t>
      </w:r>
      <w:r>
        <w:rPr>
          <w:rFonts w:hint="eastAsia" w:ascii="方正仿宋_GBK" w:hAnsi="方正仿宋_GBK" w:eastAsia="方正仿宋_GBK" w:cs="方正仿宋_GBK"/>
          <w:b w:val="0"/>
          <w:bCs w:val="0"/>
          <w:snapToGrid w:val="0"/>
          <w:color w:val="auto"/>
          <w:spacing w:val="0"/>
          <w:kern w:val="0"/>
          <w:sz w:val="32"/>
          <w:szCs w:val="32"/>
          <w:u w:val="none" w:color="auto"/>
        </w:rPr>
        <w:t>招商协议</w:t>
      </w:r>
      <w:r>
        <w:rPr>
          <w:rFonts w:hint="eastAsia" w:ascii="方正仿宋_GBK" w:hAnsi="方正仿宋_GBK" w:eastAsia="方正仿宋_GBK" w:cs="方正仿宋_GBK"/>
          <w:b w:val="0"/>
          <w:bCs w:val="0"/>
          <w:snapToGrid w:val="0"/>
          <w:color w:val="auto"/>
          <w:spacing w:val="0"/>
          <w:kern w:val="0"/>
          <w:sz w:val="32"/>
          <w:szCs w:val="32"/>
          <w:u w:val="none" w:color="auto"/>
          <w:lang w:eastAsia="zh-CN"/>
        </w:rPr>
        <w:t>合规合法性审核及公平竞争审查机制刚性约束，从源头防范有损公平竞争的不规范招商引资行为。</w:t>
      </w:r>
      <w:r>
        <w:rPr>
          <w:rFonts w:hint="eastAsia" w:ascii="Times New Roman" w:hAnsi="Times New Roman" w:eastAsia="方正楷体_GBK" w:cs="方正楷体_GBK"/>
          <w:i w:val="0"/>
          <w:iCs w:val="0"/>
          <w:caps w:val="0"/>
          <w:color w:val="auto"/>
          <w:spacing w:val="0"/>
          <w:sz w:val="32"/>
          <w:szCs w:val="32"/>
          <w:shd w:val="clear" w:fill="FFFFFF"/>
          <w:lang w:val="en-US" w:eastAsia="zh-CN"/>
        </w:rPr>
        <w:t>三是</w:t>
      </w:r>
      <w:r>
        <w:rPr>
          <w:rFonts w:hint="eastAsia" w:ascii="方正仿宋_GBK" w:hAnsi="方正仿宋_GBK" w:eastAsia="方正仿宋_GBK" w:cs="方正仿宋_GBK"/>
          <w:b w:val="0"/>
          <w:bCs w:val="0"/>
          <w:i w:val="0"/>
          <w:iCs w:val="0"/>
          <w:caps w:val="0"/>
          <w:color w:val="auto"/>
          <w:spacing w:val="0"/>
          <w:sz w:val="32"/>
          <w:szCs w:val="32"/>
          <w:shd w:val="clear" w:fill="FFFFFF"/>
          <w:lang w:val="en-US" w:eastAsia="zh-CN"/>
        </w:rPr>
        <w:t>健全履约评价体系，完善全程监管闭环。建立覆盖项目全生命周期的综合绩效评价机制，定期开展评价，对履约偏差依法依规精准处置、分类施策，既保障合作履约刚性，又彰显服务温度，以诚信规范的合作环境助力企业发展，实现双向共赢。</w:t>
      </w:r>
    </w:p>
    <w:p w14:paraId="1771505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hint="eastAsia" w:ascii="Times New Roman" w:hAnsi="Times New Roman" w:eastAsia="方正仿宋_GBK" w:cs="方正仿宋_GBK"/>
          <w:b w:val="0"/>
          <w:bCs w:val="0"/>
          <w:color w:val="auto"/>
          <w:spacing w:val="0"/>
          <w:sz w:val="32"/>
          <w:szCs w:val="32"/>
          <w:u w:val="none"/>
          <w:lang w:val="en-US" w:eastAsia="zh-CN"/>
        </w:rPr>
      </w:pPr>
      <w:r>
        <w:rPr>
          <w:rFonts w:hint="eastAsia" w:ascii="Times New Roman" w:hAnsi="Times New Roman" w:eastAsia="方正楷体_GBK" w:cs="方正楷体_GBK"/>
          <w:b w:val="0"/>
          <w:bCs w:val="0"/>
          <w:i w:val="0"/>
          <w:iCs w:val="0"/>
          <w:caps w:val="0"/>
          <w:color w:val="auto"/>
          <w:spacing w:val="0"/>
          <w:sz w:val="32"/>
          <w:szCs w:val="32"/>
          <w:shd w:val="clear" w:fill="FFFFFF"/>
          <w:lang w:val="en-US" w:eastAsia="zh-CN"/>
        </w:rPr>
        <w:t>（四）不断强化规范性文件监督管理。</w:t>
      </w:r>
      <w:r>
        <w:rPr>
          <w:rFonts w:hint="eastAsia" w:ascii="Times New Roman" w:hAnsi="Times New Roman" w:eastAsia="方正仿宋_GBK" w:cs="方正仿宋_GBK"/>
          <w:i w:val="0"/>
          <w:iCs w:val="0"/>
          <w:caps w:val="0"/>
          <w:color w:val="auto"/>
          <w:spacing w:val="0"/>
          <w:kern w:val="2"/>
          <w:sz w:val="32"/>
          <w:szCs w:val="32"/>
          <w:shd w:val="clear" w:fill="FFFFFF"/>
          <w:lang w:val="en-US" w:eastAsia="zh-CN" w:bidi="ar-SA"/>
        </w:rPr>
        <w:t>坚持以法律法规、规章制度为依据，严格进行合法性审核，2025年代区政府拟制规范性文件1件。认真落实政府法律顾问制度，聘请1名法律顾问协助处理涉法、涉诉、涉合同等各类法律事务，精准助力预防化解法律风险，全程深度参与各类合同合法性、合规性审查论证并出具正式书面意见，以专业支撑筑牢法律防线，全年未发生一起因法律问题引发的重大纠纷。</w:t>
      </w:r>
      <w:r>
        <w:rPr>
          <w:rFonts w:hint="eastAsia" w:ascii="Times New Roman" w:hAnsi="Times New Roman" w:eastAsia="方正仿宋_GBK" w:cs="方正仿宋_GBK"/>
          <w:b w:val="0"/>
          <w:bCs w:val="0"/>
          <w:color w:val="auto"/>
          <w:spacing w:val="0"/>
          <w:sz w:val="32"/>
          <w:szCs w:val="32"/>
          <w:u w:val="none"/>
          <w:lang w:val="en-US" w:eastAsia="zh-CN"/>
        </w:rPr>
        <w:t>同时，进一步加强规范性文件管理，对不符合、不衔接、不适应现行法律法规的行政规范性文件及时开展清理。</w:t>
      </w:r>
    </w:p>
    <w:p w14:paraId="117C846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hint="eastAsia" w:ascii="方正黑体_GBK" w:hAnsi="方正黑体_GBK" w:eastAsia="方正黑体_GBK" w:cs="方正黑体_GBK"/>
          <w:i w:val="0"/>
          <w:iCs w:val="0"/>
          <w:caps w:val="0"/>
          <w:color w:val="333333"/>
          <w:spacing w:val="0"/>
          <w:kern w:val="0"/>
          <w:sz w:val="32"/>
          <w:szCs w:val="32"/>
          <w:shd w:val="clear" w:fill="FFFFFF"/>
          <w:lang w:val="en-US" w:eastAsia="zh-CN" w:bidi="ar"/>
        </w:rPr>
      </w:pPr>
      <w:r>
        <w:rPr>
          <w:rFonts w:hint="eastAsia" w:ascii="方正黑体_GBK" w:hAnsi="方正黑体_GBK" w:eastAsia="方正黑体_GBK" w:cs="方正黑体_GBK"/>
          <w:i w:val="0"/>
          <w:iCs w:val="0"/>
          <w:caps w:val="0"/>
          <w:color w:val="333333"/>
          <w:spacing w:val="0"/>
          <w:kern w:val="0"/>
          <w:sz w:val="32"/>
          <w:szCs w:val="32"/>
          <w:shd w:val="clear" w:fill="FFFFFF"/>
          <w:lang w:val="en-US" w:eastAsia="zh-CN" w:bidi="ar"/>
        </w:rPr>
        <w:t>二、存在问题及不足</w:t>
      </w:r>
    </w:p>
    <w:p w14:paraId="756760B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b w:val="0"/>
          <w:bCs w:val="0"/>
          <w:color w:val="auto"/>
          <w:kern w:val="2"/>
          <w:sz w:val="32"/>
          <w:szCs w:val="32"/>
          <w:lang w:val="en-US" w:eastAsia="zh-CN" w:bidi="ar-SA"/>
        </w:rPr>
        <w:t>（一）法治学习</w:t>
      </w:r>
      <w:r>
        <w:rPr>
          <w:rFonts w:hint="eastAsia" w:ascii="方正楷体_GBK" w:hAnsi="方正楷体_GBK" w:eastAsia="方正楷体_GBK" w:cs="方正楷体_GBK"/>
          <w:color w:val="auto"/>
          <w:kern w:val="0"/>
          <w:sz w:val="32"/>
          <w:szCs w:val="32"/>
          <w:lang w:val="en-US" w:eastAsia="zh-CN" w:bidi="ar"/>
        </w:rPr>
        <w:t>深度有待提升</w:t>
      </w:r>
      <w:r>
        <w:rPr>
          <w:rFonts w:hint="eastAsia" w:ascii="方正楷体_GBK" w:hAnsi="方正楷体_GBK" w:eastAsia="方正楷体_GBK" w:cs="方正楷体_GBK"/>
          <w:b w:val="0"/>
          <w:bCs w:val="0"/>
          <w:color w:val="auto"/>
          <w:kern w:val="2"/>
          <w:sz w:val="32"/>
          <w:szCs w:val="32"/>
          <w:lang w:val="en-US" w:eastAsia="zh-CN" w:bidi="ar-SA"/>
        </w:rPr>
        <w:t>。</w:t>
      </w:r>
      <w:r>
        <w:rPr>
          <w:rFonts w:hint="eastAsia" w:ascii="方正仿宋_GBK" w:hAnsi="方正仿宋_GBK" w:eastAsia="方正仿宋_GBK" w:cs="方正仿宋_GBK"/>
          <w:color w:val="000000"/>
          <w:sz w:val="32"/>
          <w:szCs w:val="32"/>
          <w:lang w:val="en-US" w:eastAsia="zh-CN"/>
        </w:rPr>
        <w:t>虽然我局在法治学习方面取得了一定成效，但仍然存在学习深度不够的问题。部分干部职工对习近平法治思想的学习缺乏系统性，对全面依法治国的重要部署理解不够深入，导致在运用法治思维分析问题、解决问题时存在差距。</w:t>
      </w:r>
    </w:p>
    <w:p w14:paraId="4E76889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_GBK" w:hAnsi="方正仿宋_GBK" w:eastAsia="方正仿宋_GBK" w:cs="方正仿宋_GBK"/>
          <w:i w:val="0"/>
          <w:iCs w:val="0"/>
          <w:caps w:val="0"/>
          <w:color w:val="auto"/>
          <w:spacing w:val="0"/>
          <w:sz w:val="32"/>
          <w:szCs w:val="32"/>
          <w:shd w:val="clear" w:fill="FFFFFF"/>
          <w:lang w:val="en-US" w:eastAsia="zh-CN"/>
        </w:rPr>
      </w:pPr>
      <w:r>
        <w:rPr>
          <w:rFonts w:hint="eastAsia" w:ascii="方正楷体_GBK" w:hAnsi="方正楷体_GBK" w:eastAsia="方正楷体_GBK" w:cs="方正楷体_GBK"/>
          <w:b w:val="0"/>
          <w:bCs w:val="0"/>
          <w:color w:val="auto"/>
          <w:kern w:val="2"/>
          <w:sz w:val="32"/>
          <w:szCs w:val="32"/>
          <w:lang w:val="en-US" w:eastAsia="zh-CN" w:bidi="ar-SA"/>
        </w:rPr>
        <w:t>（二）法治宣传形式亟待丰富。</w:t>
      </w:r>
      <w:r>
        <w:rPr>
          <w:rFonts w:hint="eastAsia" w:ascii="方正仿宋_GBK" w:hAnsi="方正仿宋_GBK" w:eastAsia="方正仿宋_GBK" w:cs="方正仿宋_GBK"/>
          <w:color w:val="000000"/>
          <w:sz w:val="32"/>
          <w:szCs w:val="32"/>
          <w:lang w:val="en-US" w:eastAsia="zh-CN"/>
        </w:rPr>
        <w:t>目前我局虽开展系列普法活动，但在</w:t>
      </w:r>
      <w:r>
        <w:rPr>
          <w:rFonts w:hint="eastAsia" w:ascii="方正仿宋_GBK" w:hAnsi="方正仿宋_GBK" w:eastAsia="方正仿宋_GBK" w:cs="方正仿宋_GBK"/>
          <w:i w:val="0"/>
          <w:iCs w:val="0"/>
          <w:caps w:val="0"/>
          <w:color w:val="auto"/>
          <w:spacing w:val="0"/>
          <w:sz w:val="32"/>
          <w:szCs w:val="32"/>
          <w:shd w:val="clear" w:fill="FFFFFF"/>
          <w:lang w:val="en-US" w:eastAsia="zh-CN"/>
        </w:rPr>
        <w:t>面向不同类型投资主体时，如国企，民企、重点大中型企业和</w:t>
      </w:r>
      <w:r>
        <w:rPr>
          <w:rFonts w:hint="eastAsia" w:ascii="方正仿宋_GBK" w:hAnsi="方正仿宋_GBK" w:eastAsia="方正仿宋_GBK" w:cs="方正仿宋_GBK"/>
          <w:i w:val="0"/>
          <w:iCs w:val="0"/>
          <w:caps w:val="0"/>
          <w:color w:val="auto"/>
          <w:spacing w:val="0"/>
          <w:sz w:val="32"/>
          <w:szCs w:val="32"/>
          <w:shd w:val="clear" w:fill="FFFFFF"/>
        </w:rPr>
        <w:t>中小微企业</w:t>
      </w:r>
      <w:r>
        <w:rPr>
          <w:rFonts w:hint="eastAsia" w:ascii="方正仿宋_GBK" w:hAnsi="方正仿宋_GBK" w:eastAsia="方正仿宋_GBK" w:cs="方正仿宋_GBK"/>
          <w:i w:val="0"/>
          <w:iCs w:val="0"/>
          <w:caps w:val="0"/>
          <w:color w:val="auto"/>
          <w:spacing w:val="0"/>
          <w:sz w:val="32"/>
          <w:szCs w:val="32"/>
          <w:shd w:val="clear" w:fill="FFFFFF"/>
          <w:lang w:val="en-US" w:eastAsia="zh-CN"/>
        </w:rPr>
        <w:t>差异化、个性化普法结合不够。</w:t>
      </w:r>
      <w:r>
        <w:rPr>
          <w:rFonts w:hint="eastAsia" w:ascii="方正仿宋_GBK" w:hAnsi="方正仿宋_GBK" w:eastAsia="方正仿宋_GBK" w:cs="方正仿宋_GBK"/>
          <w:color w:val="000000"/>
          <w:sz w:val="32"/>
          <w:szCs w:val="32"/>
          <w:lang w:val="en-US" w:eastAsia="zh-CN"/>
        </w:rPr>
        <w:t>缺乏具有行业特色、针对招商业务实际的创新载体。</w:t>
      </w:r>
    </w:p>
    <w:p w14:paraId="1825D1F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hint="default" w:ascii="Times New Roman" w:hAnsi="Times New Roman" w:eastAsia="方正仿宋_GBK" w:cs="方正仿宋_GBK"/>
          <w:b w:val="0"/>
          <w:bCs w:val="0"/>
          <w:color w:val="auto"/>
          <w:sz w:val="32"/>
          <w:szCs w:val="32"/>
          <w:lang w:val="en-US" w:eastAsia="zh-CN"/>
        </w:rPr>
      </w:pPr>
      <w:r>
        <w:rPr>
          <w:rFonts w:hint="eastAsia" w:ascii="方正黑体_GBK" w:hAnsi="方正黑体_GBK" w:eastAsia="方正黑体_GBK" w:cs="方正黑体_GBK"/>
          <w:i w:val="0"/>
          <w:iCs w:val="0"/>
          <w:caps w:val="0"/>
          <w:color w:val="333333"/>
          <w:spacing w:val="0"/>
          <w:kern w:val="0"/>
          <w:sz w:val="32"/>
          <w:szCs w:val="32"/>
          <w:shd w:val="clear" w:fill="FFFFFF"/>
          <w:lang w:val="en-US" w:eastAsia="zh-CN" w:bidi="ar"/>
        </w:rPr>
        <w:t>三、下一步工作打算</w:t>
      </w:r>
    </w:p>
    <w:p w14:paraId="701E7DE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方正仿宋_GBK" w:hAnsi="方正仿宋_GBK" w:eastAsia="方正仿宋_GBK" w:cs="方正仿宋_GBK"/>
          <w:i w:val="0"/>
          <w:iCs w:val="0"/>
          <w:caps w:val="0"/>
          <w:color w:val="auto"/>
          <w:spacing w:val="0"/>
          <w:kern w:val="2"/>
          <w:sz w:val="32"/>
          <w:szCs w:val="32"/>
          <w:shd w:val="clear" w:fill="FFFFFF"/>
          <w:lang w:val="en-US" w:eastAsia="zh-CN" w:bidi="ar-SA"/>
        </w:rPr>
      </w:pPr>
      <w:r>
        <w:rPr>
          <w:rFonts w:hint="eastAsia" w:ascii="方正仿宋_GBK" w:hAnsi="方正仿宋_GBK" w:eastAsia="方正仿宋_GBK" w:cs="方正仿宋_GBK"/>
          <w:i w:val="0"/>
          <w:iCs w:val="0"/>
          <w:caps w:val="0"/>
          <w:color w:val="auto"/>
          <w:spacing w:val="0"/>
          <w:kern w:val="2"/>
          <w:sz w:val="32"/>
          <w:szCs w:val="32"/>
          <w:shd w:val="clear" w:fill="FFFFFF"/>
          <w:lang w:val="en-US" w:eastAsia="zh-CN" w:bidi="ar-SA"/>
        </w:rPr>
        <w:t>一是持续推进法治理论学习培训。通过多种形式开展法治理论学习，邀请法律专家、行业专家开展培训，结合招商工作特点，针对性采用案例剖析、情景模拟、线上微课等形式，提升招商人员法治实操能力。</w:t>
      </w:r>
    </w:p>
    <w:p w14:paraId="5A26668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方正仿宋_GBK" w:hAnsi="方正仿宋_GBK" w:eastAsia="方正仿宋_GBK" w:cs="方正仿宋_GBK"/>
          <w:i w:val="0"/>
          <w:iCs w:val="0"/>
          <w:caps w:val="0"/>
          <w:color w:val="auto"/>
          <w:spacing w:val="0"/>
          <w:kern w:val="2"/>
          <w:sz w:val="32"/>
          <w:szCs w:val="32"/>
          <w:shd w:val="clear" w:fill="FFFFFF"/>
          <w:lang w:val="en-US" w:eastAsia="zh-CN" w:bidi="ar-SA"/>
        </w:rPr>
      </w:pPr>
      <w:r>
        <w:rPr>
          <w:rFonts w:hint="eastAsia" w:ascii="方正仿宋_GBK" w:hAnsi="方正仿宋_GBK" w:eastAsia="方正仿宋_GBK" w:cs="方正仿宋_GBK"/>
          <w:i w:val="0"/>
          <w:iCs w:val="0"/>
          <w:caps w:val="0"/>
          <w:color w:val="auto"/>
          <w:spacing w:val="0"/>
          <w:kern w:val="2"/>
          <w:sz w:val="32"/>
          <w:szCs w:val="32"/>
          <w:shd w:val="clear" w:fill="FFFFFF"/>
          <w:lang w:val="en-US" w:eastAsia="zh-CN" w:bidi="ar-SA"/>
        </w:rPr>
        <w:t>二是</w:t>
      </w:r>
      <w:r>
        <w:rPr>
          <w:rFonts w:hint="eastAsia" w:ascii="方正仿宋_GBK" w:hAnsi="方正仿宋_GBK" w:eastAsia="方正仿宋_GBK" w:cs="方正仿宋_GBK"/>
          <w:color w:val="000000"/>
          <w:sz w:val="32"/>
          <w:szCs w:val="32"/>
          <w:lang w:val="en-US" w:eastAsia="zh-CN"/>
        </w:rPr>
        <w:t>提升融合质效，针对重点招商环节、疑难法律问题开展专题培训，组建招商法律服务专班，全程参与重大项目洽谈、合同签订，精准防范法律风险。</w:t>
      </w:r>
    </w:p>
    <w:p w14:paraId="246C12C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i w:val="0"/>
          <w:iCs w:val="0"/>
          <w:caps w:val="0"/>
          <w:color w:val="auto"/>
          <w:spacing w:val="0"/>
          <w:kern w:val="2"/>
          <w:sz w:val="32"/>
          <w:szCs w:val="32"/>
          <w:shd w:val="clear" w:fill="FFFFFF"/>
          <w:lang w:val="en-US" w:eastAsia="zh-CN" w:bidi="ar-SA"/>
        </w:rPr>
        <w:t>三是</w:t>
      </w:r>
      <w:r>
        <w:rPr>
          <w:rFonts w:hint="eastAsia" w:ascii="方正仿宋_GBK" w:hAnsi="方正仿宋_GBK" w:eastAsia="方正仿宋_GBK" w:cs="方正仿宋_GBK"/>
          <w:color w:val="000000"/>
          <w:sz w:val="32"/>
          <w:szCs w:val="32"/>
          <w:lang w:val="en-US" w:eastAsia="zh-CN"/>
        </w:rPr>
        <w:t>贯彻落实法治政府建设“十五五</w:t>
      </w:r>
      <w:bookmarkStart w:id="0" w:name="_GoBack"/>
      <w:bookmarkEnd w:id="0"/>
      <w:r>
        <w:rPr>
          <w:rFonts w:hint="eastAsia" w:ascii="方正仿宋_GBK" w:hAnsi="方正仿宋_GBK" w:eastAsia="方正仿宋_GBK" w:cs="方正仿宋_GBK"/>
          <w:color w:val="000000"/>
          <w:sz w:val="32"/>
          <w:szCs w:val="32"/>
          <w:lang w:val="en-US" w:eastAsia="zh-CN"/>
        </w:rPr>
        <w:t>”规划与“九五”普法规划，结合区招商局实际制定具体实施方案，通过进一步分解目标、压实责任，持续推动各项任务落地。</w:t>
      </w:r>
    </w:p>
    <w:p w14:paraId="013DE80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方正仿宋_GBK" w:hAnsi="方正仿宋_GBK" w:eastAsia="方正仿宋_GBK" w:cs="方正仿宋_GBK"/>
          <w:color w:val="000000"/>
          <w:sz w:val="32"/>
          <w:szCs w:val="32"/>
          <w:lang w:val="en-US" w:eastAsia="zh-CN"/>
        </w:rPr>
      </w:pPr>
    </w:p>
    <w:p w14:paraId="407FD53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firstLine="640" w:firstLineChars="200"/>
        <w:jc w:val="both"/>
        <w:textAlignment w:val="auto"/>
        <w:rPr>
          <w:rFonts w:hint="eastAsia" w:ascii="方正仿宋_GBK" w:hAnsi="方正仿宋_GBK" w:eastAsia="方正仿宋_GBK" w:cs="方正仿宋_GBK"/>
          <w:color w:val="000000"/>
          <w:sz w:val="32"/>
          <w:szCs w:val="32"/>
          <w:lang w:val="en-US" w:eastAsia="zh-CN"/>
        </w:rPr>
      </w:pPr>
    </w:p>
    <w:p w14:paraId="63552D1B">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outlineLvl w:val="9"/>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重庆市巴南区招商投资促进局</w:t>
      </w:r>
      <w:r>
        <w:rPr>
          <w:rFonts w:hint="eastAsia" w:ascii="Times New Roman" w:hAnsi="Times New Roman" w:eastAsia="方正仿宋_GBK" w:cs="Times New Roman"/>
          <w:sz w:val="32"/>
          <w:szCs w:val="32"/>
          <w:lang w:val="en-US" w:eastAsia="zh-CN"/>
        </w:rPr>
        <w:t xml:space="preserve">    </w:t>
      </w:r>
    </w:p>
    <w:p w14:paraId="048F8B93">
      <w:pPr>
        <w:keepNext w:val="0"/>
        <w:keepLines w:val="0"/>
        <w:pageBreakBefore w:val="0"/>
        <w:widowControl w:val="0"/>
        <w:kinsoku/>
        <w:wordWrap w:val="0"/>
        <w:overflowPunct/>
        <w:topLinePunct w:val="0"/>
        <w:autoSpaceDE/>
        <w:autoSpaceDN/>
        <w:bidi w:val="0"/>
        <w:adjustRightInd/>
        <w:snapToGrid/>
        <w:spacing w:line="560" w:lineRule="exact"/>
        <w:ind w:firstLine="5120" w:firstLineChars="1600"/>
        <w:jc w:val="right"/>
        <w:textAlignment w:val="auto"/>
        <w:outlineLvl w:val="9"/>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lang w:val="en-US" w:eastAsia="zh-CN"/>
        </w:rPr>
        <w:t>14</w:t>
      </w:r>
      <w:r>
        <w:rPr>
          <w:rFonts w:hint="default" w:ascii="Times New Roman" w:hAnsi="Times New Roman" w:eastAsia="方正仿宋_GBK" w:cs="Times New Roman"/>
          <w:color w:val="auto"/>
          <w:sz w:val="32"/>
          <w:szCs w:val="32"/>
        </w:rPr>
        <w:t>日</w:t>
      </w:r>
      <w:r>
        <w:rPr>
          <w:rFonts w:hint="eastAsia" w:ascii="Times New Roman" w:hAnsi="Times New Roman" w:eastAsia="方正仿宋_GBK" w:cs="Times New Roman"/>
          <w:color w:val="auto"/>
          <w:sz w:val="32"/>
          <w:szCs w:val="32"/>
          <w:lang w:val="en-US" w:eastAsia="zh-CN"/>
        </w:rPr>
        <w:t xml:space="preserve">        </w:t>
      </w:r>
    </w:p>
    <w:p w14:paraId="1B4CECBD">
      <w:pPr>
        <w:pStyle w:val="8"/>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600" w:lineRule="exact"/>
        <w:ind w:right="0" w:rightChars="0" w:firstLine="640" w:firstLineChars="200"/>
        <w:jc w:val="right"/>
        <w:textAlignment w:val="auto"/>
        <w:rPr>
          <w:rFonts w:hint="default" w:ascii="方正仿宋_GBK" w:hAnsi="方正仿宋_GBK" w:eastAsia="方正仿宋_GBK" w:cs="方正仿宋_GBK"/>
          <w:color w:val="000000"/>
          <w:sz w:val="32"/>
          <w:szCs w:val="32"/>
          <w:lang w:val="en-US" w:eastAsia="zh-CN"/>
        </w:rPr>
      </w:pPr>
    </w:p>
    <w:sectPr>
      <w:footerReference r:id="rId3" w:type="default"/>
      <w:pgSz w:w="11906" w:h="16838"/>
      <w:pgMar w:top="2098" w:right="1531" w:bottom="1984"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93FA226-8B2F-49D9-BDCC-93FE6539D47B}"/>
  </w:font>
  <w:font w:name="Arial">
    <w:panose1 w:val="020B0604020202020204"/>
    <w:charset w:val="01"/>
    <w:family w:val="swiss"/>
    <w:pitch w:val="default"/>
    <w:sig w:usb0="E0002AFF" w:usb1="C0007843" w:usb2="00000009" w:usb3="00000000" w:csb0="400001FF" w:csb1="FFFF0000"/>
    <w:embedRegular r:id="rId2" w:fontKey="{894D0F06-9DD1-4F3B-BF21-C9E0011769F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42C9E546-E894-4316-9E52-4E923DEAFBDE}"/>
  </w:font>
  <w:font w:name="Symbol">
    <w:panose1 w:val="05050102010706020507"/>
    <w:charset w:val="02"/>
    <w:family w:val="roman"/>
    <w:pitch w:val="default"/>
    <w:sig w:usb0="00000000" w:usb1="00000000" w:usb2="00000000" w:usb3="00000000" w:csb0="80000000" w:csb1="00000000"/>
    <w:embedRegular r:id="rId4" w:fontKey="{E91D47FF-7F88-4D76-A68D-A6147E34F015}"/>
  </w:font>
  <w:font w:name="Calibri">
    <w:panose1 w:val="020F0502020204030204"/>
    <w:charset w:val="00"/>
    <w:family w:val="swiss"/>
    <w:pitch w:val="default"/>
    <w:sig w:usb0="E00002FF" w:usb1="4000ACFF" w:usb2="00000001" w:usb3="00000000" w:csb0="2000019F" w:csb1="00000000"/>
    <w:embedRegular r:id="rId5" w:fontKey="{F25B271B-937B-4690-800D-F3829968CF7B}"/>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embedRegular r:id="rId6" w:fontKey="{8390EF1A-7A5D-441D-9ADE-87D14A6FD315}"/>
  </w:font>
  <w:font w:name="Times New Roman (正文 CS 字体)">
    <w:altName w:val="Times New Roman"/>
    <w:panose1 w:val="00000000000000000000"/>
    <w:charset w:val="00"/>
    <w:family w:val="roman"/>
    <w:pitch w:val="default"/>
    <w:sig w:usb0="00000000" w:usb1="00000000" w:usb2="00000000" w:usb3="00000000" w:csb0="00040001" w:csb1="00000000"/>
    <w:embedRegular r:id="rId7" w:fontKey="{0DC99260-B596-407E-9E47-85C1AD755C24}"/>
  </w:font>
  <w:font w:name="方正小标宋_GBK">
    <w:panose1 w:val="03000509000000000000"/>
    <w:charset w:val="86"/>
    <w:family w:val="auto"/>
    <w:pitch w:val="default"/>
    <w:sig w:usb0="00000001" w:usb1="080E0000" w:usb2="00000000" w:usb3="00000000" w:csb0="00040000" w:csb1="00000000"/>
    <w:embedRegular r:id="rId8" w:fontKey="{B881C0CE-C613-4D41-ABCE-480895F4D4E1}"/>
  </w:font>
  <w:font w:name="方正黑体_GBK">
    <w:panose1 w:val="03000509000000000000"/>
    <w:charset w:val="86"/>
    <w:family w:val="auto"/>
    <w:pitch w:val="default"/>
    <w:sig w:usb0="00000001" w:usb1="080E0000" w:usb2="00000000" w:usb3="00000000" w:csb0="00040000" w:csb1="00000000"/>
    <w:embedRegular r:id="rId9" w:fontKey="{04F290B5-699F-494C-B21E-5264C3937DBA}"/>
  </w:font>
  <w:font w:name="方正楷体_GBK">
    <w:panose1 w:val="03000509000000000000"/>
    <w:charset w:val="86"/>
    <w:family w:val="auto"/>
    <w:pitch w:val="default"/>
    <w:sig w:usb0="00000001" w:usb1="080E0000" w:usb2="00000000" w:usb3="00000000" w:csb0="00040000" w:csb1="00000000"/>
    <w:embedRegular r:id="rId10" w:fontKey="{FFDE065A-F7AD-4EC9-B091-8237C0EB43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E5209">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9FE08">
                          <w:pPr>
                            <w:pStyle w:val="5"/>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229FE08">
                    <w:pPr>
                      <w:pStyle w:val="5"/>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C23483"/>
    <w:rsid w:val="02BE582C"/>
    <w:rsid w:val="03F57F35"/>
    <w:rsid w:val="0626121B"/>
    <w:rsid w:val="065E4842"/>
    <w:rsid w:val="071F6AB6"/>
    <w:rsid w:val="072B0FB7"/>
    <w:rsid w:val="07EA70C4"/>
    <w:rsid w:val="09C97B58"/>
    <w:rsid w:val="110F721E"/>
    <w:rsid w:val="141D25CF"/>
    <w:rsid w:val="18605572"/>
    <w:rsid w:val="190D676E"/>
    <w:rsid w:val="1A2E627B"/>
    <w:rsid w:val="1C5E5533"/>
    <w:rsid w:val="1DC04AF3"/>
    <w:rsid w:val="1F7D3462"/>
    <w:rsid w:val="1FBE6A14"/>
    <w:rsid w:val="22721A61"/>
    <w:rsid w:val="23160046"/>
    <w:rsid w:val="23555288"/>
    <w:rsid w:val="23C93BD9"/>
    <w:rsid w:val="25747B9A"/>
    <w:rsid w:val="27313F6F"/>
    <w:rsid w:val="27C4285D"/>
    <w:rsid w:val="29FC07E9"/>
    <w:rsid w:val="2BA73356"/>
    <w:rsid w:val="2D5E5392"/>
    <w:rsid w:val="2E1E3349"/>
    <w:rsid w:val="2F225361"/>
    <w:rsid w:val="2FE222AB"/>
    <w:rsid w:val="300E12F2"/>
    <w:rsid w:val="35C13564"/>
    <w:rsid w:val="3A685AA2"/>
    <w:rsid w:val="3B471B5C"/>
    <w:rsid w:val="3D9A42DF"/>
    <w:rsid w:val="3DC15BF5"/>
    <w:rsid w:val="40B82BB4"/>
    <w:rsid w:val="41566655"/>
    <w:rsid w:val="42C23483"/>
    <w:rsid w:val="472745EF"/>
    <w:rsid w:val="49042E3A"/>
    <w:rsid w:val="491916F4"/>
    <w:rsid w:val="49827181"/>
    <w:rsid w:val="4C910E89"/>
    <w:rsid w:val="4C96649F"/>
    <w:rsid w:val="50F6750C"/>
    <w:rsid w:val="531159A8"/>
    <w:rsid w:val="54FC70BB"/>
    <w:rsid w:val="58256929"/>
    <w:rsid w:val="58AE691E"/>
    <w:rsid w:val="5B015F26"/>
    <w:rsid w:val="5B972875"/>
    <w:rsid w:val="5C4F0B22"/>
    <w:rsid w:val="5C9727A1"/>
    <w:rsid w:val="6134408D"/>
    <w:rsid w:val="614B7400"/>
    <w:rsid w:val="61785D1C"/>
    <w:rsid w:val="619239A0"/>
    <w:rsid w:val="6192502F"/>
    <w:rsid w:val="635464A5"/>
    <w:rsid w:val="63CE4319"/>
    <w:rsid w:val="66012783"/>
    <w:rsid w:val="698614C8"/>
    <w:rsid w:val="69D1246D"/>
    <w:rsid w:val="719922E7"/>
    <w:rsid w:val="754C7472"/>
    <w:rsid w:val="757D16FB"/>
    <w:rsid w:val="797D616D"/>
    <w:rsid w:val="7C8A3698"/>
    <w:rsid w:val="7E154BC6"/>
    <w:rsid w:val="7FA44454"/>
    <w:rsid w:val="7FC92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unhideWhenUsed/>
    <w:qFormat/>
    <w:uiPriority w:val="99"/>
    <w:pPr>
      <w:spacing w:line="560" w:lineRule="exact"/>
      <w:ind w:left="0"/>
    </w:pPr>
    <w:rPr>
      <w:rFonts w:ascii="仿宋_GB2312" w:eastAsia="仿宋_GB2312"/>
      <w:kern w:val="2"/>
      <w:sz w:val="32"/>
    </w:rPr>
  </w:style>
  <w:style w:type="paragraph" w:styleId="3">
    <w:name w:val="Body Text First Indent"/>
    <w:basedOn w:val="2"/>
    <w:qFormat/>
    <w:uiPriority w:val="0"/>
    <w:pPr>
      <w:adjustRightInd w:val="0"/>
      <w:spacing w:line="312" w:lineRule="atLeast"/>
      <w:ind w:firstLine="420" w:firstLineChars="100"/>
      <w:textAlignment w:val="baseline"/>
    </w:pPr>
    <w:rPr>
      <w:szCs w:val="32"/>
    </w:rPr>
  </w:style>
  <w:style w:type="paragraph" w:styleId="4">
    <w:name w:val="Body Text Indent"/>
    <w:basedOn w:val="1"/>
    <w:qFormat/>
    <w:uiPriority w:val="0"/>
    <w:pPr>
      <w:ind w:left="420" w:leftChars="200"/>
    </w:pPr>
  </w:style>
  <w:style w:type="paragraph" w:styleId="5">
    <w:name w:val="footer"/>
    <w:basedOn w:val="1"/>
    <w:next w:val="6"/>
    <w:qFormat/>
    <w:uiPriority w:val="0"/>
    <w:pPr>
      <w:tabs>
        <w:tab w:val="center" w:pos="4153"/>
        <w:tab w:val="right" w:pos="8306"/>
      </w:tabs>
      <w:snapToGrid w:val="0"/>
      <w:jc w:val="left"/>
    </w:pPr>
    <w:rPr>
      <w:sz w:val="18"/>
    </w:rPr>
  </w:style>
  <w:style w:type="paragraph" w:customStyle="1" w:styleId="6">
    <w:name w:val="索引 51"/>
    <w:basedOn w:val="1"/>
    <w:next w:val="1"/>
    <w:qFormat/>
    <w:uiPriority w:val="0"/>
    <w:pPr>
      <w:ind w:left="1680"/>
    </w:pPr>
    <w:rPr>
      <w:rFonts w:eastAsia="方正仿宋_GBK" w:cs="Times New Roman (正文 CS 字体)"/>
      <w:snapToGrid w:val="0"/>
      <w:kern w:val="0"/>
      <w:sz w:val="32"/>
      <w:szCs w:val="24"/>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9">
    <w:name w:val="Body Text First Indent 2"/>
    <w:basedOn w:val="4"/>
    <w:qFormat/>
    <w:uiPriority w:val="0"/>
    <w:pPr>
      <w:ind w:firstLine="420" w:firstLineChars="200"/>
    </w:pPr>
  </w:style>
  <w:style w:type="character" w:styleId="12">
    <w:name w:val="Strong"/>
    <w:basedOn w:val="11"/>
    <w:qFormat/>
    <w:uiPriority w:val="0"/>
    <w:rPr>
      <w:b/>
    </w:rPr>
  </w:style>
  <w:style w:type="paragraph" w:customStyle="1" w:styleId="13">
    <w:name w:val="Default"/>
    <w:basedOn w:val="1"/>
    <w:next w:val="1"/>
    <w:qFormat/>
    <w:uiPriority w:val="0"/>
    <w:pPr>
      <w:widowControl/>
      <w:autoSpaceDE w:val="0"/>
      <w:autoSpaceDN w:val="0"/>
      <w:adjustRightInd w:val="0"/>
      <w:jc w:val="left"/>
    </w:pPr>
    <w:rPr>
      <w:rFonts w:ascii="Arial" w:hAnsi="Arial" w:eastAsia="宋体" w:cs="Arial"/>
      <w:color w:val="000000"/>
      <w:kern w:val="0"/>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2367</Words>
  <Characters>2393</Characters>
  <Lines>0</Lines>
  <Paragraphs>0</Paragraphs>
  <TotalTime>0</TotalTime>
  <ScaleCrop>false</ScaleCrop>
  <LinksUpToDate>false</LinksUpToDate>
  <CharactersWithSpaces>2396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2026-01-20T09:29:00Z</dcterms:created>
  <dc:creator>冉东霖</dc:creator>
  <cp:lastModifiedBy>vivien</cp:lastModifiedBy>
  <cp:lastPrinted>2026-01-26T09:31:00Z</cp:lastPrinted>
  <dcterms:modified xsi:type="dcterms:W3CDTF">2026-02-25T01:58:51Z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AB57D90812F745848F4AB7D17A88130E_13</vt:lpwstr>
  </property>
  <property fmtid="{D5CDD505-2E9C-101B-9397-08002B2CF9AE}" pid="4" name="KSOTemplateDocerSaveRecord">
    <vt:lpwstr>eyJoZGlkIjoiZjY3MWZkZjg0YTc0ZDgyMzU5MWYyZGU0MThkNzZiYjIiLCJ1c2VySWQiOiI2NDIzODc3MDIifQ==</vt:lpwstr>
  </property>
</Properties>
</file>