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color w:val="333333"/>
          <w:sz w:val="45"/>
          <w:szCs w:val="45"/>
        </w:rPr>
      </w:pPr>
      <w:bookmarkStart w:id="0" w:name="_GoBack"/>
      <w:r>
        <w:rPr>
          <w:rFonts w:ascii="微软雅黑" w:hAnsi="微软雅黑" w:eastAsia="微软雅黑" w:cs="微软雅黑"/>
          <w:i w:val="0"/>
          <w:caps w:val="0"/>
          <w:color w:val="333333"/>
          <w:spacing w:val="0"/>
          <w:sz w:val="45"/>
          <w:szCs w:val="45"/>
          <w:bdr w:val="none" w:color="auto" w:sz="0" w:space="0"/>
          <w:shd w:val="clear" w:fill="FFFFFF"/>
        </w:rPr>
        <w:t>重庆市巴南区人民政府一品街道办事处2019年度部门决算情况说明</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一、部门基本情况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1、贯彻落实党和国家的路线、方针、政策以及区委、区政府的工作部署。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2、对辖区内的地区性、社会性、群众工作全面负责，以社区建设为中心，以城市管理、社会保障为重点，实现基层基础工作社区化，社区建设社会化。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3、负责辖区内党建工作，领导、协调辖区内企事业单位和居民中的党组织以及受区委委托管理的党组织，负责抓好其思想、组织、作风建设，做好党风廉政建设工作和党的纪律检查工作，协调党政群各组织的活动和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4、负责辖区内民政、司法、社会保障、人民武装、社会治安综合治理等相关工作，制定街道经济、社会发展计划并组织实施，为辖区经济发展和社会进步创造良好的环境。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5、统筹协调专业管理部门在本辖区的基层工作，协调和管理环保、文体、教育、卫生、残联、老龄等相关工作。 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一品街道办事处内设综合办事机构6个，分别是党政办公室、经济发展科、社会事务科、社会治安综合治理委员会办公室、规划建设管理环保办公室、食品药品监督管理办公室。内设公益性事业机构5个，分别是农业服务中心、文化服务中心、财政所、社会保障服务所、畜牧兽医站。其他派出机构2个，分别是司法所、城市管理综合行政执法支队市政中队,与上年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（三）单位构成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从预算单位构成看，纳入本部门2019年度决算编制的二级预算单位主要包括党政办公室、经济发展科、社会事务科、社会治安综合治理委员会办公室、规划建设管理环保办公室、食品药品监督管理办公室、农业服务中心、文化服务中心、财政所、社会保障服务所、畜牧兽医站、司法所、城市管理综合行政执法支队市政中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二、部门决算情况说明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1.总体情况。2019年度收入总计4,791.03万元，支出总计4,791.03万元。收支较上年决算数增加366.93万元、增长8.29%，主要原因是民政优抚经费调标、村居运转经费调标、工资调标、目标考核调标和价格临时补贴等。本部分的收入总计包括收入合计、用事业基金弥补收支差额、年初结转和结余，支出总计包括本年支出合计、结余分配、年末结转和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收入情况。2019年度收入合计4,791.03万元，较上年决算数增加366.93万元，增长8.29%，主要原因是民政优抚经费调标、村居运转经费调标、工资调标、目标考核调标和价格临时补贴等。其中：财政拨款收入4,791.03万元，占100.00%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3.支出情况。2019年度支出合计4,791.03万元，较上年决算数增加366.93万元，增长8.29%，主要原因是民政优抚经费调标、村居运转经费调标、工资调标、目标考核调标和价格临时补贴等。其中：基本支出1,941.56万元，占40.52%；项目支出2,849.47万元，占59.48%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4.结转结余情况。2019年度年末结转和结余0.00万元，较上年决算数增加0.00万元，增长0.00%。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（二）财政拨款收入支出决算总体情况说明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2019年度财政拨款收、支总计4,791.03万元。与2018年相比，财政拨款收、支总计各增加366.93万元，增长8.29%。主要原因是民政优抚经费调标、村居运转经费调标、工资调标、目标考核调标和价格临时补贴等。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（三）一般公共预算财政拨款支出决算情况说明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1.收入情况。2019年度一般公共预算财政拨款收入4,508.42万元，较上年决算数增加84.32万元，增长1.91%。主要原因是主要原因是民政优抚经费调标、村居运转经费调标、工资调标和目标考核调标等。较年初预算数增加1,770.05万元，增长64.64%。主要原因是区级部门安排的一体资金、公路建设资金等专项资金增加。此外，年初财政拨款结转和结余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支出情况。2019年度一般公共预算财政拨款支出4,508.42万元，较上年决算数增加84.32万元，增长1.91%。主要原因是民政优抚经费调标、村居运转经费调标、工资调标和目标考核调标等。较年初预算数增加1,770.05万元，增长64.64%。主要原因是区级部门安排的一体资金、公路建设资金等专项资金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3.结转结余情况。2019年度年末一般公共预算财政拨款结转和结余0.00万元，较上年决算数增加0.00万元，增长0.00%。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4.比较情况。本部门2019年度一般公共预算财政拨款支出主要用于以下几个方面：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（1）一般公共服务支出894.00万元，占19.83%，较年初预算数减少287.30万元，下降24.32%，主要原因是公务用车运行费，办公费，维修费，劳务费等减少。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（2）公共安全支出42.99万元，占0.95%，较年初预算数增加9.68万元，增长29.06%，主要原因是司法行政运行人员经费和公用经费增加。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（3）文化旅游体育与传媒支出131.00万元，占2.91%，较年初预算数增加40.08万元，增长44.08%，主要原因是增加人员经费、公用经费、文化楼免费开放经费等。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（4）社会保障与就业支出1,399.00万元，占31.03%，较年初预算数增加663.94万元，增长90.32%，主要原因是增加民政优抚经费调标、价格临时补贴等。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（5）卫生健康支出149.00万元，占3.30%，较年初预算数增加26.18万元，增长21.32%，主要原因是增加精神病人医药费经费、优抚对象医疗费等。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（6）城乡社区支出470.00万元，占10.42%，较年初预算数增加438.64万元，增长1,398.72%，主要原因是增加市政设施维修维护、城市和农村垃圾清运、创卫工作等经费。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（7）农林水支出905.00万元，占20.07%，较年初预算数增加450.63万元，增长99.18%，主要原因是增加农业行政运行的人员经费、公用经费，村居运转经费调标等。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（8）自然资源海洋气象等支出312.00万元，占6.92%，较年初预算数增加312.00万元，增长0.00%，主要原因是增加拆除“四山”违法违规建筑复绿项目。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（9）住房保障支出205.43万元，占4.56%，较年初预算数增加116.20万元，增长130.23%，主要原因是在职职工住房补贴、住房公积金基数调整。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（四）一般公共预算财政拨款基本支出决算情况说明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2019年度一般公共财政拨款基本支出1,941.56万元。其中：人员经费1,662.13万元，较上年决算数减少38.51万元，下降2.26%，主要原因是维修费、公务用车运行费、宣传费用等的减少。人员经费用途主要包括：基本工资、津贴补贴、奖金、绩效工资、基本养老保险费、住房公积金等。公用经费279.42万元，较上年决算数减少135.30万元，下降32.62%，主要原因是维修费、劳务费等的减少。公用经费用途主要包括办公费、劳务费、邮电费、差旅费、维修维护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（五）政府性基金预算收支决算情况说明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2019年度政府性基金预算财政拨款年初结转结余0.00万元，年末结转结余0.00万元。本年收入282.61万元，较上年决算数增加282.61万元，增长0.00%，主要原因是社区养老服务站建设、敬老院维修维护费、农村公路建设的增加。本年支出282.61万元，较上年决算数增加282.61万元，增长0.00%，主要原因是社区养老服务站建设12万元，敬老院维修维护费10万元，农村公路建设260.61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三、“三公”经费情况说明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（一）“三公”经费支出总体情况说明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2019年度“三公”经费支出共计19.43万元，较年初预算数减少10.57万元，下降35.23%，主要原因是公务用车运行维护费减少。较上年支出数减少8.57万元，下降30.61%，主要原因是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（二）“三公”经费分项支出情况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2019年度本部门因公出国（境）费用0.00万元，费用支出较年初预算数增加0.00万元，增长0.00%，本单位未发生因公出国（境）费用支出。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公务车购置费0.00万元，费用支出较年初预算数增加0.00万元，增长0.00%，较上年支出数增加0.00万元，增长0.00%，本单位2019年度未发生公务车购置费支出。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公务车运行维护费13.08万元，主要用于油费、洗车费、驾驶员里程补助等。费用支出较年初预算数减少6.92万元，下降34.60%，主要原因是严格落实公车使用规定，严禁公车私用。较上年支出数减少8.56万元，下降39.56%，主要原因是车辆报废维修费减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公务接待费6.35万元，主要用于接待接受相关部门检查指导工作发生的接待支出等。费用支出较年初预算数减少3.65万元，下降36.50%，主要原因是严格遵守公务接待开支范围和开支标准，严格控制陪餐人数。较上年支出数减少0.01万元，下降0.16%，主要原因是严格控制陪餐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（三）“三公”经费实物量情况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2019年度本部门因公出国（境）共计0个团组，0人；公务用车购置0辆，公务车保有量为13辆；国内公务接待213批次2,096人，其中：国内外事接待0批次，0人；国（境）外公务接待0批次，0人。2019年本部门人均接待费30.31元，车均购置费0.00万元，车均维护费1.01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四、其他需要说明的事项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一）机关运行经费情况说明。2019年度本部门机关运行经费支出279.42万元，机关运行经费主要用于开支办公费、公务车运行维护费等。机关运行经费较上年决算数减少135.30万元，下降32.62%，主要原因是劳务费、维修费、公务用车运行费等的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此外，本年度一般公共预算财政拨款会议费支出0.17万元，较上年决算数减少0.63万元，下降78.75%，主要原因是会议次数的减少。本年度一般公共预算财政拨款培训费支出4.17万元，较上年决算数增加3.34万元，增长402.41%，主要原因是培训次数、人数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二）国有资产占用情况说明。截至2019年12月31日，本部门共有车辆13辆，其中，副部（省）级及以上领导用车0辆、主要领导干部用车0辆、机要通信用车3辆、应急保障用车9辆、执法执勤用车0辆，特种专业技术用车1辆，离退休干部用车0辆，其他用车0辆。单价50万元（含）以上通用设备0台（套），单价100万元（含）以上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三）政府采购支出情况说明。2019年度本部门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2019年度我单位未发生政府采购事项，无相关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五、预算绩效管理情况说明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（一）预算绩效管理工作开展情况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根据预算绩效管理要求，本部门对85个项目开展了绩效自评，其中，以填报目标自评表形式开展自评85项，涉及资金1884.08万元；从评价情况来看，保证了环境卫生保洁工作的常态化、规范化，提升群众卫生意识，使在册享受对象得到生活补助，改善生活，提高了市民生活质量和幸福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（二）绩效自评结果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2019年少数民族发展资金项目绩效目标自评综述：根据年初设定的绩效目标，项目总体完成情况已修建50立方米蓄水池1座，PVC管道3900米，闸阀井6个。项目全年预算数为20万元，执行数为20万元，完成预算的100%。主要产出和效果：一是修建50方蓄水池1座，二是安装PVC管道3900米，保障263户819人饮水问题。发现的问题项目资金使用和监管不规范，原因由于项目由村自建，资金使用和监管不便。下一步改进措施加强村级项目管理培训，逐步规范项目资金使用管理。</w:t>
      </w:r>
    </w:p>
    <w:tbl>
      <w:tblPr>
        <w:tblW w:w="10995" w:type="dxa"/>
        <w:jc w:val="center"/>
        <w:tblInd w:w="-1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42"/>
        <w:gridCol w:w="1152"/>
        <w:gridCol w:w="1343"/>
        <w:gridCol w:w="1600"/>
        <w:gridCol w:w="1689"/>
        <w:gridCol w:w="1336"/>
        <w:gridCol w:w="2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0995" w:type="dxa"/>
            <w:gridSpan w:val="7"/>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48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项目资金绩效目标自评表 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0995" w:type="dxa"/>
            <w:gridSpan w:val="7"/>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42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837"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专项（项目）名称</w:t>
            </w:r>
          </w:p>
        </w:tc>
        <w:tc>
          <w:tcPr>
            <w:tcW w:w="409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2019年少数民族发展资金</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联系人及电话</w:t>
            </w:r>
          </w:p>
        </w:tc>
        <w:tc>
          <w:tcPr>
            <w:tcW w:w="3869"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刘洪林17782316828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主管部门</w:t>
            </w:r>
          </w:p>
        </w:tc>
        <w:tc>
          <w:tcPr>
            <w:tcW w:w="409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区民宗侨办</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实施单位</w:t>
            </w:r>
          </w:p>
        </w:tc>
        <w:tc>
          <w:tcPr>
            <w:tcW w:w="3869"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农服中心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项目资金（万元）</w:t>
            </w:r>
          </w:p>
        </w:tc>
        <w:tc>
          <w:tcPr>
            <w:tcW w:w="409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全年预算数（A）</w:t>
            </w:r>
          </w:p>
        </w:tc>
        <w:tc>
          <w:tcPr>
            <w:tcW w:w="302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全年执行数（B）</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24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总量</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20</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总量</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20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24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42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其中：财政资金</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20</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其中：财政资金</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20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年度总体目标</w:t>
            </w:r>
          </w:p>
        </w:tc>
        <w:tc>
          <w:tcPr>
            <w:tcW w:w="5784"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年初设定目标</w:t>
            </w:r>
          </w:p>
        </w:tc>
        <w:tc>
          <w:tcPr>
            <w:tcW w:w="3869"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5784"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修建50立方米蓄水池1座，PVC管道3900米，闸阀井6个。</w:t>
            </w:r>
          </w:p>
        </w:tc>
        <w:tc>
          <w:tcPr>
            <w:tcW w:w="3869"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已修建50立方米蓄水池1座，PVC管道3900米，闸阀井6个。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绩效指标</w:t>
            </w:r>
          </w:p>
        </w:tc>
        <w:tc>
          <w:tcPr>
            <w:tcW w:w="24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48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指标名称</w:t>
            </w:r>
          </w:p>
        </w:tc>
        <w:tc>
          <w:tcPr>
            <w:tcW w:w="1600"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年度指标值</w:t>
            </w:r>
          </w:p>
        </w:tc>
        <w:tc>
          <w:tcPr>
            <w:tcW w:w="1689"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全年完成值</w:t>
            </w:r>
          </w:p>
        </w:tc>
        <w:tc>
          <w:tcPr>
            <w:tcW w:w="1336"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完成比例</w:t>
            </w:r>
          </w:p>
        </w:tc>
        <w:tc>
          <w:tcPr>
            <w:tcW w:w="2533"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未完成原因和改进措施及相关说明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一级指标</w:t>
            </w: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二级指标</w:t>
            </w:r>
          </w:p>
        </w:tc>
        <w:tc>
          <w:tcPr>
            <w:tcW w:w="16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689"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36"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253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数量指标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修建50方蓄水池1座</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1座</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安装PVC管道3900米</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3900米</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产出指标</w:t>
            </w:r>
          </w:p>
        </w:tc>
        <w:tc>
          <w:tcPr>
            <w:tcW w:w="13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安装闸阀井6个</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6个</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质量指标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通过验收</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已通过验收</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时效指标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按时完成</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已按时完成</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成本指标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效益指标</w:t>
            </w: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经济效益指标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社会效益指标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保障263户819人饮水问题</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保障了263户819人饮水问题</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生态效益指标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可持续影响指标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解决辖区群众饮水问题</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辖区群众饮水问题得到了解决</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管理类指标</w:t>
            </w: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满意度指标</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辖区群众满意度大于90%</w:t>
            </w: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99%</w:t>
            </w: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100%</w:t>
            </w: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w:t>
            </w:r>
          </w:p>
        </w:tc>
        <w:tc>
          <w:tcPr>
            <w:tcW w:w="16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说明</w:t>
            </w:r>
          </w:p>
        </w:tc>
        <w:tc>
          <w:tcPr>
            <w:tcW w:w="9653" w:type="dxa"/>
            <w:gridSpan w:val="6"/>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bdr w:val="none" w:color="auto" w:sz="0" w:space="0"/>
              </w:rPr>
              <w:t>无</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六、专业名词解释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（一）财政拨款收入：指本年度从本级财政部门取得的财政拨款，包括一般公共预算财政拨款和政府性基金预算财政拨款。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（二）事业收入：指事业单位开展专业业务活动及其辅助活动取得的现金流入；事业单位收到的财政专户实际核拨的教育收费等资金在此反映。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（三）经营收入：指事业单位在专业业务活动及其辅助活动之外开展非独立核算经营活动取得的现金流入。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（六）年初结转和结余：指单位上年结转本年使用的基本支出结转、项目支出结转和结余、经营结余。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（七）结余分配：指单位按照国家有关规定，缴纳所得税、提取专用基金、转入事业基金等当年结余的分配情况。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（八）年末结转和结余：指单位结转下年的基本支出结转、项目支出结转和结余、经营结余。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（十）项目支出：指在基本支出之外为完成特定行政任务和事业发展目标所发生的支出。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（十一）经营支出：指事业单位在专业业务活动及其辅助活动之外开展非独立核算经营活动发生的支出。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（十四）工资福利支出（支出经济分类科目类级）：反映单位开支的在职职工和编制外长期聘用人员的各类劳动报酬，以及为上述人员缴纳的各项社会保险费等。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（十五）商品和服务支出（支出经济分类科目类级）：反映单位购买商品和服务的支出（不包括用于购置固定资产的支出、战略性和应急储备支出）。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（十六）对个人和家庭的补助（支出经济分类科目类级）：反映用于对个人和家庭的补助支出。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七、决算公开联系方式及信息反馈渠道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bdr w:val="none" w:color="auto" w:sz="0" w:space="0"/>
          <w:shd w:val="clear" w:fill="FFFFFF"/>
        </w:rPr>
        <w:t>本单位决算公开信息反馈和联系方式：023-66480117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77EFD"/>
    <w:rsid w:val="1777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2025-03-11T03:41:00Z</dcterms:created>
  <dc:creator>Administrator</dc:creator>
  <cp:lastModifiedBy>Administrator</cp:lastModifiedBy>
  <dcterms:modified xsi:type="dcterms:W3CDTF">2025-03-11T03:41:22Z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