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2"/>
          <w:szCs w:val="4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2"/>
          <w:szCs w:val="42"/>
          <w:shd w:val="clear" w:fill="FFFFFF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0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2"/>
          <w:szCs w:val="42"/>
          <w:shd w:val="clear" w:fill="FFFFFF"/>
        </w:rPr>
        <w:t>重庆市巴南区人民政府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2"/>
          <w:szCs w:val="42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2"/>
          <w:szCs w:val="42"/>
          <w:shd w:val="clear" w:fill="FFFFFF"/>
        </w:rPr>
        <w:t>关于加强燃放烟花爆竹管理的通告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jc w:val="center"/>
        <w:textAlignment w:val="auto"/>
        <w:outlineLvl w:val="9"/>
        <w:rPr>
          <w:rFonts w:ascii="Segoe UI" w:hAnsi="Segoe UI" w:eastAsia="Segoe UI" w:cs="Segoe U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巴南府发〔2019〕30号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outlineLvl w:val="9"/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为加强燃放烟花爆竹安全管理，减少大气污染、改善城市环境、维护公共安全，根据最新修订的《重庆市燃放烟花爆竹管理条例》（以下简称《条例》）等有关规定，特通告如下：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一、禁止燃放烟花爆竹的区域（以下简称禁放区域）：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重庆市巴南区绕城高速公路以内区域（含绕城高速公路）。范围包括：龙洲湾街道、鱼洞街道、李家沱街道、花溪街道、南泉街道、界石镇全部区域；一品街道、南彭街道、惠民街道等绕城以内区域。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二、禁放区域以外的下列区域或者场所禁止燃放烟花爆竹：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国家机关办公场所；易燃易爆物品生产、储存单位；文物保护单位；车站、码头、机场、桥梁、隧道、轨道交通设施以及铁路线路安全保护区内；饮用水水源保护区内；输变电设施安全保护区内；医疗机构、幼儿园、学校、养老机构；化粪池、沼气池、地下管网；森林等重点防火区；法律、法规、规章规定禁止用火的其他区域或者场所。由有关管理责任单位在上述区域或者场所设置明显的禁放警示标志，并严格管理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三、在禁放区域和场所内，禁止生产、储存、经营烟花爆竹。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四、严禁任何单位和个人非法生产、经营、储存、运输、燃放烟花爆竹，严禁销售、储存、携带、燃放不符合本市公布的规格和种类要求的烟花爆竹。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五、严格烟花爆竹品种管理。在燃放区允许经营和个人燃放的烟花爆竹品种为C级和D级产品中的喷花类、旋转类、玩具类（烟雾型、摩擦型除外）、爆竹类（“土火炮”“大夹小”和“炮中炮”爆竹产品除外）、升空类（火箭、旋转烟花产品除外）、组合烟花类6类。禁止销售和燃放礼花弹、架子烟花、小礼花、吐珠烟花产品和单发火药量大于25g、内径大于30mm（1.2″）的内筒型组合烟花等专业燃放类产品；禁止销售和燃放擦炮、摔炮、药粒型吐珠产品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六、未成年人燃放烟花爆竹，应当由监护人或者其他成年人陪同看护。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七、任何单位和个人应当自觉遵守《条例》规定。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八、对违反《条例》等法律法规和本通告规定的行为，依法追究当事人责任。构成犯罪的，依法追究刑事责任。</w:t>
      </w:r>
    </w:p>
    <w:p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3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九、本通告自公布之日起施行。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重庆市巴南区人民政府</w:t>
      </w:r>
    </w:p>
    <w:p>
      <w:pPr>
        <w:keepNext w:val="0"/>
        <w:keepLines w:val="0"/>
        <w:pageBreakBefore w:val="0"/>
        <w:widowControl/>
        <w:suppressLineNumbers w:val="0"/>
        <w:pBdr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2019年12月19日  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80" w:firstLineChars="200"/>
        <w:textAlignment w:val="auto"/>
        <w:outlineLvl w:val="9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962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巴南区人民政府发布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巴南区人民政府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C7C024C"/>
    <w:rsid w:val="0E025194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AEB3417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744E4660"/>
    <w:rsid w:val="753355A2"/>
    <w:rsid w:val="759F1C61"/>
    <w:rsid w:val="769F2DE8"/>
    <w:rsid w:val="76FDEB7C"/>
    <w:rsid w:val="79C65162"/>
    <w:rsid w:val="7C9011D9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2022-06-21T06:24:02Z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48C61CB29D3F4D9384F5922CF0F7FFB4</vt:lpwstr>
  </property>
</Properties>
</file>